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70" w:type="dxa"/>
          <w:right w:w="70" w:type="dxa"/>
        </w:tblCellMar>
        <w:tblLook w:val="00A0"/>
      </w:tblPr>
      <w:tblGrid>
        <w:gridCol w:w="1291"/>
        <w:gridCol w:w="3799"/>
        <w:gridCol w:w="1083"/>
        <w:gridCol w:w="747"/>
        <w:gridCol w:w="7620"/>
      </w:tblGrid>
      <w:tr w:rsidR="00856070" w:rsidRPr="006D1528" w:rsidTr="006D1528">
        <w:trPr>
          <w:trHeight w:val="510"/>
        </w:trPr>
        <w:tc>
          <w:tcPr>
            <w:tcW w:w="361" w:type="pct"/>
            <w:tcBorders>
              <w:top w:val="nil"/>
              <w:left w:val="single" w:sz="4" w:space="0" w:color="FFFFFF"/>
              <w:bottom w:val="nil"/>
              <w:right w:val="single" w:sz="4" w:space="0" w:color="FFFFFF"/>
            </w:tcBorders>
            <w:shd w:val="clear" w:color="4472C4" w:fill="4472C4"/>
            <w:vAlign w:val="center"/>
          </w:tcPr>
          <w:p w:rsidR="00856070" w:rsidRPr="006D1528" w:rsidRDefault="00856070" w:rsidP="006D1528">
            <w:pPr>
              <w:spacing w:after="0" w:line="240" w:lineRule="auto"/>
              <w:jc w:val="center"/>
              <w:rPr>
                <w:rFonts w:cs="Calibri"/>
                <w:b/>
                <w:bCs/>
                <w:color w:val="FFFFFF"/>
                <w:sz w:val="24"/>
                <w:szCs w:val="24"/>
                <w:lang w:val="es-ES" w:eastAsia="es-ES"/>
              </w:rPr>
            </w:pPr>
            <w:r w:rsidRPr="006D1528">
              <w:rPr>
                <w:rFonts w:cs="Calibri"/>
                <w:b/>
                <w:bCs/>
                <w:color w:val="FFFFFF"/>
                <w:sz w:val="24"/>
                <w:szCs w:val="24"/>
                <w:lang w:val="es-ES" w:eastAsia="es-ES"/>
              </w:rPr>
              <w:t>Licencia</w:t>
            </w:r>
          </w:p>
        </w:tc>
        <w:tc>
          <w:tcPr>
            <w:tcW w:w="1365" w:type="pct"/>
            <w:tcBorders>
              <w:top w:val="nil"/>
              <w:left w:val="nil"/>
              <w:bottom w:val="nil"/>
              <w:right w:val="single" w:sz="4" w:space="0" w:color="FFFFFF"/>
            </w:tcBorders>
            <w:shd w:val="clear" w:color="4472C4" w:fill="4472C4"/>
            <w:vAlign w:val="center"/>
          </w:tcPr>
          <w:p w:rsidR="00856070" w:rsidRPr="006D1528" w:rsidRDefault="00856070" w:rsidP="006D1528">
            <w:pPr>
              <w:spacing w:after="0" w:line="240" w:lineRule="auto"/>
              <w:jc w:val="center"/>
              <w:rPr>
                <w:rFonts w:cs="Calibri"/>
                <w:b/>
                <w:bCs/>
                <w:color w:val="FFFFFF"/>
                <w:sz w:val="24"/>
                <w:szCs w:val="24"/>
                <w:lang w:val="es-ES" w:eastAsia="es-ES"/>
              </w:rPr>
            </w:pPr>
            <w:r w:rsidRPr="006D1528">
              <w:rPr>
                <w:rFonts w:cs="Calibri"/>
                <w:b/>
                <w:bCs/>
                <w:color w:val="FFFFFF"/>
                <w:sz w:val="24"/>
                <w:szCs w:val="24"/>
                <w:lang w:val="es-ES" w:eastAsia="es-ES"/>
              </w:rPr>
              <w:t>Nombre</w:t>
            </w:r>
          </w:p>
        </w:tc>
        <w:tc>
          <w:tcPr>
            <w:tcW w:w="280" w:type="pct"/>
            <w:tcBorders>
              <w:top w:val="nil"/>
              <w:left w:val="nil"/>
              <w:bottom w:val="nil"/>
              <w:right w:val="single" w:sz="4" w:space="0" w:color="FFFFFF"/>
            </w:tcBorders>
            <w:shd w:val="clear" w:color="4472C4" w:fill="4472C4"/>
            <w:vAlign w:val="center"/>
          </w:tcPr>
          <w:p w:rsidR="00856070" w:rsidRPr="006D1528" w:rsidRDefault="00856070" w:rsidP="006D1528">
            <w:pPr>
              <w:spacing w:after="0" w:line="240" w:lineRule="auto"/>
              <w:jc w:val="center"/>
              <w:rPr>
                <w:rFonts w:cs="Calibri"/>
                <w:b/>
                <w:bCs/>
                <w:color w:val="FFFFFF"/>
                <w:sz w:val="24"/>
                <w:szCs w:val="24"/>
                <w:lang w:val="es-ES" w:eastAsia="es-ES"/>
              </w:rPr>
            </w:pPr>
            <w:r w:rsidRPr="006D1528">
              <w:rPr>
                <w:rFonts w:cs="Calibri"/>
                <w:b/>
                <w:bCs/>
                <w:color w:val="FFFFFF"/>
                <w:sz w:val="24"/>
                <w:szCs w:val="24"/>
                <w:lang w:val="es-ES" w:eastAsia="es-ES"/>
              </w:rPr>
              <w:t>Corridos/</w:t>
            </w:r>
            <w:r w:rsidRPr="006D1528">
              <w:rPr>
                <w:rFonts w:cs="Calibri"/>
                <w:b/>
                <w:bCs/>
                <w:color w:val="FFFFFF"/>
                <w:sz w:val="24"/>
                <w:szCs w:val="24"/>
                <w:lang w:val="es-ES" w:eastAsia="es-ES"/>
              </w:rPr>
              <w:br/>
              <w:t xml:space="preserve">Hábiles </w:t>
            </w:r>
          </w:p>
        </w:tc>
        <w:tc>
          <w:tcPr>
            <w:tcW w:w="266" w:type="pct"/>
            <w:tcBorders>
              <w:top w:val="nil"/>
              <w:left w:val="nil"/>
              <w:bottom w:val="nil"/>
              <w:right w:val="single" w:sz="4" w:space="0" w:color="FFFFFF"/>
            </w:tcBorders>
            <w:shd w:val="clear" w:color="4472C4" w:fill="4472C4"/>
            <w:vAlign w:val="center"/>
          </w:tcPr>
          <w:p w:rsidR="00856070" w:rsidRPr="006D1528" w:rsidRDefault="00856070" w:rsidP="006D1528">
            <w:pPr>
              <w:spacing w:after="0" w:line="240" w:lineRule="auto"/>
              <w:jc w:val="center"/>
              <w:rPr>
                <w:rFonts w:cs="Calibri"/>
                <w:b/>
                <w:bCs/>
                <w:color w:val="FFFFFF"/>
                <w:sz w:val="24"/>
                <w:szCs w:val="24"/>
                <w:lang w:val="es-ES" w:eastAsia="es-ES"/>
              </w:rPr>
            </w:pPr>
            <w:r w:rsidRPr="006D1528">
              <w:rPr>
                <w:rFonts w:cs="Calibri"/>
                <w:b/>
                <w:bCs/>
                <w:color w:val="FFFFFF"/>
                <w:sz w:val="24"/>
                <w:szCs w:val="24"/>
                <w:lang w:val="es-ES" w:eastAsia="es-ES"/>
              </w:rPr>
              <w:t>Tope</w:t>
            </w:r>
          </w:p>
        </w:tc>
        <w:tc>
          <w:tcPr>
            <w:tcW w:w="2728" w:type="pct"/>
            <w:tcBorders>
              <w:top w:val="nil"/>
              <w:left w:val="nil"/>
              <w:bottom w:val="nil"/>
              <w:right w:val="single" w:sz="4" w:space="0" w:color="FFFFFF"/>
            </w:tcBorders>
            <w:shd w:val="clear" w:color="4472C4" w:fill="4472C4"/>
            <w:vAlign w:val="center"/>
          </w:tcPr>
          <w:p w:rsidR="00856070" w:rsidRPr="006D1528" w:rsidRDefault="00856070" w:rsidP="006D1528">
            <w:pPr>
              <w:spacing w:after="0" w:line="240" w:lineRule="auto"/>
              <w:jc w:val="center"/>
              <w:rPr>
                <w:rFonts w:cs="Calibri"/>
                <w:b/>
                <w:bCs/>
                <w:color w:val="FFFFFF"/>
                <w:sz w:val="24"/>
                <w:szCs w:val="24"/>
                <w:lang w:val="es-ES" w:eastAsia="es-ES"/>
              </w:rPr>
            </w:pPr>
            <w:r w:rsidRPr="006D1528">
              <w:rPr>
                <w:rFonts w:cs="Calibri"/>
                <w:b/>
                <w:bCs/>
                <w:color w:val="FFFFFF"/>
                <w:sz w:val="24"/>
                <w:szCs w:val="24"/>
                <w:lang w:val="es-ES" w:eastAsia="es-ES"/>
              </w:rPr>
              <w:t>Observaciones regla</w:t>
            </w:r>
          </w:p>
        </w:tc>
      </w:tr>
      <w:tr w:rsidR="00856070" w:rsidRPr="006D1528" w:rsidTr="006D1528">
        <w:trPr>
          <w:trHeight w:val="630"/>
        </w:trPr>
        <w:tc>
          <w:tcPr>
            <w:tcW w:w="361" w:type="pct"/>
            <w:tcBorders>
              <w:top w:val="single" w:sz="4" w:space="0" w:color="auto"/>
              <w:left w:val="single" w:sz="4" w:space="0" w:color="auto"/>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70CH</w:t>
            </w:r>
          </w:p>
        </w:tc>
        <w:tc>
          <w:tcPr>
            <w:tcW w:w="1365" w:type="pct"/>
            <w:tcBorders>
              <w:top w:val="single" w:sz="4" w:space="0" w:color="auto"/>
              <w:left w:val="nil"/>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Licencia por embarazo y nacimiento (</w:t>
            </w:r>
            <w:r>
              <w:rPr>
                <w:rFonts w:cs="Calibri"/>
                <w:color w:val="000000"/>
                <w:sz w:val="24"/>
                <w:szCs w:val="24"/>
                <w:lang w:val="es-ES" w:eastAsia="es-ES"/>
              </w:rPr>
              <w:t>p</w:t>
            </w:r>
            <w:r w:rsidRPr="006D1528">
              <w:rPr>
                <w:rFonts w:cs="Calibri"/>
                <w:color w:val="000000"/>
                <w:sz w:val="24"/>
                <w:szCs w:val="24"/>
                <w:lang w:val="es-ES" w:eastAsia="es-ES"/>
              </w:rPr>
              <w:t>reparto)</w:t>
            </w:r>
          </w:p>
        </w:tc>
        <w:tc>
          <w:tcPr>
            <w:tcW w:w="280" w:type="pct"/>
            <w:tcBorders>
              <w:top w:val="single" w:sz="4" w:space="0" w:color="auto"/>
              <w:left w:val="nil"/>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Corridos</w:t>
            </w:r>
          </w:p>
        </w:tc>
        <w:tc>
          <w:tcPr>
            <w:tcW w:w="266" w:type="pct"/>
            <w:tcBorders>
              <w:top w:val="single" w:sz="4" w:space="0" w:color="auto"/>
              <w:left w:val="nil"/>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45</w:t>
            </w:r>
          </w:p>
        </w:tc>
        <w:tc>
          <w:tcPr>
            <w:tcW w:w="2728" w:type="pct"/>
            <w:tcBorders>
              <w:top w:val="single" w:sz="4" w:space="0" w:color="auto"/>
              <w:left w:val="nil"/>
              <w:bottom w:val="single" w:sz="4" w:space="0" w:color="auto"/>
              <w:right w:val="single" w:sz="4" w:space="0" w:color="auto"/>
            </w:tcBorders>
            <w:vAlign w:val="bottom"/>
          </w:tcPr>
          <w:p w:rsidR="00856070" w:rsidRPr="006D1528" w:rsidRDefault="00856070" w:rsidP="006D1528">
            <w:pPr>
              <w:spacing w:after="0" w:line="240" w:lineRule="auto"/>
              <w:rPr>
                <w:rFonts w:ascii="Times New Roman" w:hAnsi="Times New Roman"/>
                <w:color w:val="000000"/>
                <w:sz w:val="24"/>
                <w:szCs w:val="24"/>
                <w:lang w:val="es-ES" w:eastAsia="es-ES"/>
              </w:rPr>
            </w:pPr>
            <w:r w:rsidRPr="006D1528">
              <w:rPr>
                <w:rFonts w:ascii="Times New Roman" w:hAnsi="Times New Roman"/>
                <w:color w:val="000000"/>
                <w:sz w:val="24"/>
                <w:szCs w:val="24"/>
                <w:lang w:val="es-ES" w:eastAsia="es-ES"/>
              </w:rPr>
              <w:t>"La licencia por embarazo y nacimiento será de cuarenta y cinco (45) días corridos antes del nacimiento…"</w:t>
            </w:r>
          </w:p>
        </w:tc>
      </w:tr>
      <w:tr w:rsidR="00856070" w:rsidRPr="00A05F6D" w:rsidTr="006D1528">
        <w:trPr>
          <w:trHeight w:val="600"/>
        </w:trPr>
        <w:tc>
          <w:tcPr>
            <w:tcW w:w="361" w:type="pct"/>
            <w:tcBorders>
              <w:top w:val="nil"/>
              <w:left w:val="single" w:sz="4" w:space="0" w:color="auto"/>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70CH_POST</w:t>
            </w:r>
          </w:p>
        </w:tc>
        <w:tc>
          <w:tcPr>
            <w:tcW w:w="1365"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Licencia por embarazo y nacimiento (</w:t>
            </w:r>
            <w:r>
              <w:rPr>
                <w:rFonts w:cs="Calibri"/>
                <w:color w:val="000000"/>
                <w:sz w:val="24"/>
                <w:szCs w:val="24"/>
                <w:lang w:val="es-ES" w:eastAsia="es-ES"/>
              </w:rPr>
              <w:t>p</w:t>
            </w:r>
            <w:r w:rsidRPr="006D1528">
              <w:rPr>
                <w:rFonts w:cs="Calibri"/>
                <w:color w:val="000000"/>
                <w:sz w:val="24"/>
                <w:szCs w:val="24"/>
                <w:lang w:val="es-ES" w:eastAsia="es-ES"/>
              </w:rPr>
              <w:t>ostparto)</w:t>
            </w:r>
          </w:p>
        </w:tc>
        <w:tc>
          <w:tcPr>
            <w:tcW w:w="280"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Corridos</w:t>
            </w:r>
          </w:p>
        </w:tc>
        <w:tc>
          <w:tcPr>
            <w:tcW w:w="266"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120</w:t>
            </w:r>
          </w:p>
        </w:tc>
        <w:tc>
          <w:tcPr>
            <w:tcW w:w="2728"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jc w:val="both"/>
              <w:rPr>
                <w:rFonts w:ascii="Times New Roman" w:hAnsi="Times New Roman"/>
                <w:color w:val="000000"/>
                <w:sz w:val="24"/>
                <w:szCs w:val="24"/>
                <w:lang w:val="es-ES" w:eastAsia="es-ES"/>
              </w:rPr>
            </w:pPr>
            <w:r w:rsidRPr="006D1528">
              <w:rPr>
                <w:rFonts w:ascii="Times New Roman" w:hAnsi="Times New Roman"/>
                <w:color w:val="000000"/>
                <w:sz w:val="24"/>
                <w:szCs w:val="24"/>
                <w:lang w:val="es-ES" w:eastAsia="es-ES"/>
              </w:rPr>
              <w:t>"Ciento veinte (120) días corridos después del nacimiento, con percepción íntegra de haberes."</w:t>
            </w:r>
          </w:p>
        </w:tc>
      </w:tr>
      <w:tr w:rsidR="00856070" w:rsidRPr="006D1528" w:rsidTr="006D1528">
        <w:trPr>
          <w:trHeight w:val="1890"/>
        </w:trPr>
        <w:tc>
          <w:tcPr>
            <w:tcW w:w="361" w:type="pct"/>
            <w:tcBorders>
              <w:top w:val="nil"/>
              <w:left w:val="single" w:sz="4" w:space="0" w:color="auto"/>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70CH_T</w:t>
            </w:r>
          </w:p>
        </w:tc>
        <w:tc>
          <w:tcPr>
            <w:tcW w:w="1365"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La licencia por embarazo y nacimiento (</w:t>
            </w:r>
            <w:r>
              <w:rPr>
                <w:rFonts w:cs="Calibri"/>
                <w:color w:val="000000"/>
                <w:sz w:val="24"/>
                <w:szCs w:val="24"/>
                <w:lang w:val="es-ES" w:eastAsia="es-ES"/>
              </w:rPr>
              <w:t>t</w:t>
            </w:r>
            <w:r w:rsidRPr="006D1528">
              <w:rPr>
                <w:rFonts w:cs="Calibri"/>
                <w:color w:val="000000"/>
                <w:sz w:val="24"/>
                <w:szCs w:val="24"/>
                <w:lang w:val="es-ES" w:eastAsia="es-ES"/>
              </w:rPr>
              <w:t>ransferible)</w:t>
            </w:r>
          </w:p>
        </w:tc>
        <w:tc>
          <w:tcPr>
            <w:tcW w:w="280"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Corridos</w:t>
            </w:r>
          </w:p>
        </w:tc>
        <w:tc>
          <w:tcPr>
            <w:tcW w:w="266"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30</w:t>
            </w:r>
          </w:p>
        </w:tc>
        <w:tc>
          <w:tcPr>
            <w:tcW w:w="2728"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rPr>
                <w:rFonts w:ascii="Times New Roman" w:hAnsi="Times New Roman"/>
                <w:color w:val="000000"/>
                <w:sz w:val="24"/>
                <w:szCs w:val="24"/>
                <w:lang w:val="es-ES" w:eastAsia="es-ES"/>
              </w:rPr>
            </w:pPr>
            <w:r w:rsidRPr="006D1528">
              <w:rPr>
                <w:rFonts w:ascii="Times New Roman" w:hAnsi="Times New Roman"/>
                <w:color w:val="000000"/>
                <w:sz w:val="24"/>
                <w:szCs w:val="24"/>
                <w:lang w:val="es-ES" w:eastAsia="es-ES"/>
              </w:rPr>
              <w:t>"Si ambos/as progenitores/as fuesen agentes del Gobierno de la Ciudad Autónoma de Buenos Aires, en el marco de sus normas de regulación, la persona gestante podrá optar por transferir a el/la otro/a progenitor/a los últimos treinta (30) días corridos de su licencia post-parto de forma indivisible. Tal opción deberá ser informada por ambos/as progenitores/as mediante notificación fehaciente al establecimiento educativo y/o al área de personal de la jurisdicción donde revista presupuestariamente."</w:t>
            </w:r>
          </w:p>
        </w:tc>
      </w:tr>
      <w:tr w:rsidR="00856070" w:rsidRPr="006D1528" w:rsidTr="006D1528">
        <w:trPr>
          <w:trHeight w:val="630"/>
        </w:trPr>
        <w:tc>
          <w:tcPr>
            <w:tcW w:w="361" w:type="pct"/>
            <w:tcBorders>
              <w:top w:val="nil"/>
              <w:left w:val="single" w:sz="4" w:space="0" w:color="auto"/>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70CH_EXT</w:t>
            </w:r>
          </w:p>
        </w:tc>
        <w:tc>
          <w:tcPr>
            <w:tcW w:w="1365"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 xml:space="preserve">La licencia por embarazo y nacimiento sin </w:t>
            </w:r>
            <w:r>
              <w:rPr>
                <w:rFonts w:cs="Calibri"/>
                <w:color w:val="000000"/>
                <w:sz w:val="24"/>
                <w:szCs w:val="24"/>
                <w:lang w:val="es-ES" w:eastAsia="es-ES"/>
              </w:rPr>
              <w:t>g</w:t>
            </w:r>
            <w:r w:rsidRPr="006D1528">
              <w:rPr>
                <w:rFonts w:cs="Calibri"/>
                <w:color w:val="000000"/>
                <w:sz w:val="24"/>
                <w:szCs w:val="24"/>
                <w:lang w:val="es-ES" w:eastAsia="es-ES"/>
              </w:rPr>
              <w:t xml:space="preserve">oce de </w:t>
            </w:r>
            <w:r>
              <w:rPr>
                <w:rFonts w:cs="Calibri"/>
                <w:color w:val="000000"/>
                <w:sz w:val="24"/>
                <w:szCs w:val="24"/>
                <w:lang w:val="es-ES" w:eastAsia="es-ES"/>
              </w:rPr>
              <w:t>h</w:t>
            </w:r>
            <w:r w:rsidRPr="006D1528">
              <w:rPr>
                <w:rFonts w:cs="Calibri"/>
                <w:color w:val="000000"/>
                <w:sz w:val="24"/>
                <w:szCs w:val="24"/>
                <w:lang w:val="es-ES" w:eastAsia="es-ES"/>
              </w:rPr>
              <w:t>aberes</w:t>
            </w:r>
          </w:p>
        </w:tc>
        <w:tc>
          <w:tcPr>
            <w:tcW w:w="280"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Corridos</w:t>
            </w:r>
          </w:p>
        </w:tc>
        <w:tc>
          <w:tcPr>
            <w:tcW w:w="266"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120</w:t>
            </w:r>
          </w:p>
        </w:tc>
        <w:tc>
          <w:tcPr>
            <w:tcW w:w="2728"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jc w:val="both"/>
              <w:rPr>
                <w:rFonts w:ascii="Times New Roman" w:hAnsi="Times New Roman"/>
                <w:color w:val="000000"/>
                <w:sz w:val="24"/>
                <w:szCs w:val="24"/>
                <w:lang w:val="es-ES" w:eastAsia="es-ES"/>
              </w:rPr>
            </w:pPr>
            <w:r w:rsidRPr="006D1528">
              <w:rPr>
                <w:rFonts w:ascii="Times New Roman" w:hAnsi="Times New Roman"/>
                <w:color w:val="000000"/>
                <w:sz w:val="24"/>
                <w:szCs w:val="24"/>
                <w:lang w:val="es-ES" w:eastAsia="es-ES"/>
              </w:rPr>
              <w:t>"Vencida la licencia post-parto, la persona gestante podrá solicitar una licencia sin percepción de haberes de hasta ciento veinte (120) días co</w:t>
            </w:r>
            <w:r>
              <w:rPr>
                <w:rFonts w:ascii="Times New Roman" w:hAnsi="Times New Roman"/>
                <w:color w:val="000000"/>
                <w:sz w:val="24"/>
                <w:szCs w:val="24"/>
                <w:lang w:val="es-ES" w:eastAsia="es-ES"/>
              </w:rPr>
              <w:t>rri</w:t>
            </w:r>
            <w:r w:rsidRPr="006D1528">
              <w:rPr>
                <w:rFonts w:ascii="Times New Roman" w:hAnsi="Times New Roman"/>
                <w:color w:val="000000"/>
                <w:sz w:val="24"/>
                <w:szCs w:val="24"/>
                <w:lang w:val="es-ES" w:eastAsia="es-ES"/>
              </w:rPr>
              <w:t>dos. Este lapso es intransferible."</w:t>
            </w:r>
          </w:p>
        </w:tc>
      </w:tr>
      <w:tr w:rsidR="00856070" w:rsidRPr="006D1528" w:rsidTr="006D1528">
        <w:trPr>
          <w:trHeight w:val="1260"/>
        </w:trPr>
        <w:tc>
          <w:tcPr>
            <w:tcW w:w="361" w:type="pct"/>
            <w:tcBorders>
              <w:top w:val="nil"/>
              <w:left w:val="single" w:sz="4" w:space="0" w:color="auto"/>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70CH_NN</w:t>
            </w:r>
          </w:p>
        </w:tc>
        <w:tc>
          <w:tcPr>
            <w:tcW w:w="1365"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 xml:space="preserve">Licencia por </w:t>
            </w:r>
            <w:r>
              <w:rPr>
                <w:rFonts w:cs="Calibri"/>
                <w:color w:val="000000"/>
                <w:sz w:val="24"/>
                <w:szCs w:val="24"/>
                <w:lang w:val="es-ES" w:eastAsia="es-ES"/>
              </w:rPr>
              <w:t>a</w:t>
            </w:r>
            <w:r w:rsidRPr="006D1528">
              <w:rPr>
                <w:rFonts w:cs="Calibri"/>
                <w:color w:val="000000"/>
                <w:sz w:val="24"/>
                <w:szCs w:val="24"/>
                <w:lang w:val="es-ES" w:eastAsia="es-ES"/>
              </w:rPr>
              <w:t xml:space="preserve">lumbramiento </w:t>
            </w:r>
            <w:r>
              <w:rPr>
                <w:rFonts w:cs="Calibri"/>
                <w:color w:val="000000"/>
                <w:sz w:val="24"/>
                <w:szCs w:val="24"/>
                <w:lang w:val="es-ES" w:eastAsia="es-ES"/>
              </w:rPr>
              <w:t>s</w:t>
            </w:r>
            <w:r w:rsidRPr="006D1528">
              <w:rPr>
                <w:rFonts w:cs="Calibri"/>
                <w:color w:val="000000"/>
                <w:sz w:val="24"/>
                <w:szCs w:val="24"/>
                <w:lang w:val="es-ES" w:eastAsia="es-ES"/>
              </w:rPr>
              <w:t xml:space="preserve">in </w:t>
            </w:r>
            <w:r>
              <w:rPr>
                <w:rFonts w:cs="Calibri"/>
                <w:color w:val="000000"/>
                <w:sz w:val="24"/>
                <w:szCs w:val="24"/>
                <w:lang w:val="es-ES" w:eastAsia="es-ES"/>
              </w:rPr>
              <w:t>v</w:t>
            </w:r>
            <w:r w:rsidRPr="006D1528">
              <w:rPr>
                <w:rFonts w:cs="Calibri"/>
                <w:color w:val="000000"/>
                <w:sz w:val="24"/>
                <w:szCs w:val="24"/>
                <w:lang w:val="es-ES" w:eastAsia="es-ES"/>
              </w:rPr>
              <w:t xml:space="preserve">ida o </w:t>
            </w:r>
            <w:r>
              <w:rPr>
                <w:rFonts w:cs="Calibri"/>
                <w:color w:val="000000"/>
                <w:sz w:val="24"/>
                <w:szCs w:val="24"/>
                <w:lang w:val="es-ES" w:eastAsia="es-ES"/>
              </w:rPr>
              <w:t>f</w:t>
            </w:r>
            <w:r w:rsidRPr="006D1528">
              <w:rPr>
                <w:rFonts w:cs="Calibri"/>
                <w:color w:val="000000"/>
                <w:sz w:val="24"/>
                <w:szCs w:val="24"/>
                <w:lang w:val="es-ES" w:eastAsia="es-ES"/>
              </w:rPr>
              <w:t xml:space="preserve">allecimiento a poco de </w:t>
            </w:r>
            <w:r>
              <w:rPr>
                <w:rFonts w:cs="Calibri"/>
                <w:color w:val="000000"/>
                <w:sz w:val="24"/>
                <w:szCs w:val="24"/>
                <w:lang w:val="es-ES" w:eastAsia="es-ES"/>
              </w:rPr>
              <w:t>n</w:t>
            </w:r>
            <w:r w:rsidRPr="006D1528">
              <w:rPr>
                <w:rFonts w:cs="Calibri"/>
                <w:color w:val="000000"/>
                <w:sz w:val="24"/>
                <w:szCs w:val="24"/>
                <w:lang w:val="es-ES" w:eastAsia="es-ES"/>
              </w:rPr>
              <w:t>acer</w:t>
            </w:r>
          </w:p>
        </w:tc>
        <w:tc>
          <w:tcPr>
            <w:tcW w:w="280"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Corridos</w:t>
            </w:r>
          </w:p>
        </w:tc>
        <w:tc>
          <w:tcPr>
            <w:tcW w:w="266"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90</w:t>
            </w:r>
          </w:p>
        </w:tc>
        <w:tc>
          <w:tcPr>
            <w:tcW w:w="2728"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jc w:val="both"/>
              <w:rPr>
                <w:rFonts w:ascii="Times New Roman" w:hAnsi="Times New Roman"/>
                <w:color w:val="000000"/>
                <w:sz w:val="24"/>
                <w:szCs w:val="24"/>
                <w:lang w:val="es-ES" w:eastAsia="es-ES"/>
              </w:rPr>
            </w:pPr>
            <w:r w:rsidRPr="006D1528">
              <w:rPr>
                <w:rFonts w:ascii="Times New Roman" w:hAnsi="Times New Roman"/>
                <w:color w:val="000000"/>
                <w:sz w:val="24"/>
                <w:szCs w:val="24"/>
                <w:lang w:val="es-ES" w:eastAsia="es-ES"/>
              </w:rPr>
              <w:t>"Si se produjere el alumbramiento sin vida o falleciere el/la neonato/ta a poco de nacer, la persona gestante tendrá derecho a gozar de una licencia con goce íntegro de haberes de noventa (90) días corridos, contados a partir de la circunstancia de hecho acreditada que diere origen a la presente licencia."</w:t>
            </w:r>
          </w:p>
        </w:tc>
      </w:tr>
      <w:tr w:rsidR="00856070" w:rsidRPr="00A05F6D" w:rsidTr="006D1528">
        <w:trPr>
          <w:trHeight w:val="600"/>
        </w:trPr>
        <w:tc>
          <w:tcPr>
            <w:tcW w:w="361" w:type="pct"/>
            <w:tcBorders>
              <w:top w:val="nil"/>
              <w:left w:val="single" w:sz="4" w:space="0" w:color="auto"/>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70CH_AB</w:t>
            </w:r>
          </w:p>
        </w:tc>
        <w:tc>
          <w:tcPr>
            <w:tcW w:w="1365" w:type="pct"/>
            <w:tcBorders>
              <w:top w:val="nil"/>
              <w:left w:val="nil"/>
              <w:bottom w:val="single" w:sz="4" w:space="0" w:color="auto"/>
              <w:right w:val="single" w:sz="4" w:space="0" w:color="auto"/>
            </w:tcBorders>
            <w:vAlign w:val="center"/>
          </w:tcPr>
          <w:p w:rsidR="00856070" w:rsidRPr="006D1528" w:rsidRDefault="00856070" w:rsidP="00DE5678">
            <w:pPr>
              <w:spacing w:after="0" w:line="240" w:lineRule="auto"/>
              <w:rPr>
                <w:rFonts w:cs="Calibri"/>
                <w:color w:val="000000"/>
                <w:sz w:val="24"/>
                <w:szCs w:val="24"/>
                <w:lang w:val="es-ES" w:eastAsia="es-ES"/>
              </w:rPr>
            </w:pPr>
            <w:r w:rsidRPr="006D1528">
              <w:rPr>
                <w:rFonts w:cs="Calibri"/>
                <w:color w:val="000000"/>
                <w:sz w:val="24"/>
                <w:szCs w:val="24"/>
                <w:lang w:val="es-ES" w:eastAsia="es-ES"/>
              </w:rPr>
              <w:t>Aborto espont</w:t>
            </w:r>
            <w:r>
              <w:rPr>
                <w:rFonts w:cs="Calibri"/>
                <w:color w:val="000000"/>
                <w:sz w:val="24"/>
                <w:szCs w:val="24"/>
                <w:lang w:val="es-ES" w:eastAsia="es-ES"/>
              </w:rPr>
              <w:t>á</w:t>
            </w:r>
            <w:r w:rsidRPr="006D1528">
              <w:rPr>
                <w:rFonts w:cs="Calibri"/>
                <w:color w:val="000000"/>
                <w:sz w:val="24"/>
                <w:szCs w:val="24"/>
                <w:lang w:val="es-ES" w:eastAsia="es-ES"/>
              </w:rPr>
              <w:t xml:space="preserve">neo o por razones </w:t>
            </w:r>
            <w:r>
              <w:rPr>
                <w:rFonts w:cs="Calibri"/>
                <w:color w:val="000000"/>
                <w:sz w:val="24"/>
                <w:szCs w:val="24"/>
                <w:lang w:val="es-ES" w:eastAsia="es-ES"/>
              </w:rPr>
              <w:t>t</w:t>
            </w:r>
            <w:r w:rsidRPr="006D1528">
              <w:rPr>
                <w:rFonts w:cs="Calibri"/>
                <w:color w:val="000000"/>
                <w:sz w:val="24"/>
                <w:szCs w:val="24"/>
                <w:lang w:val="es-ES" w:eastAsia="es-ES"/>
              </w:rPr>
              <w:t>erap</w:t>
            </w:r>
            <w:r>
              <w:rPr>
                <w:rFonts w:cs="Calibri"/>
                <w:color w:val="000000"/>
                <w:sz w:val="24"/>
                <w:szCs w:val="24"/>
                <w:lang w:val="es-ES" w:eastAsia="es-ES"/>
              </w:rPr>
              <w:t>é</w:t>
            </w:r>
            <w:r w:rsidRPr="006D1528">
              <w:rPr>
                <w:rFonts w:cs="Calibri"/>
                <w:color w:val="000000"/>
                <w:sz w:val="24"/>
                <w:szCs w:val="24"/>
                <w:lang w:val="es-ES" w:eastAsia="es-ES"/>
              </w:rPr>
              <w:t>uticas</w:t>
            </w:r>
          </w:p>
        </w:tc>
        <w:tc>
          <w:tcPr>
            <w:tcW w:w="280"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Corridos</w:t>
            </w:r>
          </w:p>
        </w:tc>
        <w:tc>
          <w:tcPr>
            <w:tcW w:w="266"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20</w:t>
            </w:r>
          </w:p>
        </w:tc>
        <w:tc>
          <w:tcPr>
            <w:tcW w:w="2728" w:type="pct"/>
            <w:tcBorders>
              <w:top w:val="nil"/>
              <w:left w:val="nil"/>
              <w:bottom w:val="single" w:sz="4" w:space="0" w:color="auto"/>
              <w:right w:val="single" w:sz="4" w:space="0" w:color="auto"/>
            </w:tcBorders>
            <w:vAlign w:val="bottom"/>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 xml:space="preserve">"Si se interrumpiera el </w:t>
            </w:r>
            <w:r>
              <w:rPr>
                <w:rFonts w:cs="Calibri"/>
                <w:color w:val="000000"/>
                <w:sz w:val="24"/>
                <w:szCs w:val="24"/>
                <w:lang w:val="es-ES" w:eastAsia="es-ES"/>
              </w:rPr>
              <w:t>e</w:t>
            </w:r>
            <w:r w:rsidRPr="006D1528">
              <w:rPr>
                <w:rFonts w:cs="Calibri"/>
                <w:color w:val="000000"/>
                <w:sz w:val="24"/>
                <w:szCs w:val="24"/>
                <w:lang w:val="es-ES" w:eastAsia="es-ES"/>
              </w:rPr>
              <w:t>mbarazo por aborto o por razones terapéuticas, la persona gestante tendrá derecho a una licencia de veinte (20) días corridos, con percepción de haberes</w:t>
            </w:r>
            <w:r>
              <w:rPr>
                <w:rFonts w:cs="Calibri"/>
                <w:color w:val="000000"/>
                <w:sz w:val="24"/>
                <w:szCs w:val="24"/>
                <w:lang w:val="es-ES" w:eastAsia="es-ES"/>
              </w:rPr>
              <w:t>.</w:t>
            </w:r>
            <w:r w:rsidRPr="006D1528">
              <w:rPr>
                <w:rFonts w:cs="Calibri"/>
                <w:color w:val="000000"/>
                <w:sz w:val="24"/>
                <w:szCs w:val="24"/>
                <w:lang w:val="es-ES" w:eastAsia="es-ES"/>
              </w:rPr>
              <w:t>"</w:t>
            </w:r>
          </w:p>
        </w:tc>
      </w:tr>
      <w:tr w:rsidR="00856070" w:rsidRPr="00A05F6D" w:rsidTr="006D1528">
        <w:trPr>
          <w:trHeight w:val="900"/>
        </w:trPr>
        <w:tc>
          <w:tcPr>
            <w:tcW w:w="361" w:type="pct"/>
            <w:tcBorders>
              <w:top w:val="nil"/>
              <w:left w:val="single" w:sz="4" w:space="0" w:color="auto"/>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70CH_ESP2</w:t>
            </w:r>
          </w:p>
        </w:tc>
        <w:tc>
          <w:tcPr>
            <w:tcW w:w="1365"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Embarazo de alto riesgo</w:t>
            </w:r>
          </w:p>
        </w:tc>
        <w:tc>
          <w:tcPr>
            <w:tcW w:w="280"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Corridos</w:t>
            </w:r>
          </w:p>
        </w:tc>
        <w:tc>
          <w:tcPr>
            <w:tcW w:w="266"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165</w:t>
            </w:r>
          </w:p>
        </w:tc>
        <w:tc>
          <w:tcPr>
            <w:tcW w:w="2728" w:type="pct"/>
            <w:tcBorders>
              <w:top w:val="nil"/>
              <w:left w:val="nil"/>
              <w:bottom w:val="single" w:sz="4" w:space="0" w:color="auto"/>
              <w:right w:val="single" w:sz="4" w:space="0" w:color="auto"/>
            </w:tcBorders>
            <w:vAlign w:val="bottom"/>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 xml:space="preserve">"En caso de </w:t>
            </w:r>
            <w:r>
              <w:rPr>
                <w:rFonts w:cs="Calibri"/>
                <w:color w:val="000000"/>
                <w:sz w:val="24"/>
                <w:szCs w:val="24"/>
                <w:lang w:val="es-ES" w:eastAsia="es-ES"/>
              </w:rPr>
              <w:t>e</w:t>
            </w:r>
            <w:r w:rsidRPr="006D1528">
              <w:rPr>
                <w:rFonts w:cs="Calibri"/>
                <w:color w:val="000000"/>
                <w:sz w:val="24"/>
                <w:szCs w:val="24"/>
                <w:lang w:val="es-ES" w:eastAsia="es-ES"/>
              </w:rPr>
              <w:t>mbarazo de alto riesgo, se podrá aumentar el periodo preparto de ser necesario de conformidad con la prescripción del médico tratante y con la debida intervención del órgano competente en la materia</w:t>
            </w:r>
            <w:r>
              <w:rPr>
                <w:rFonts w:cs="Calibri"/>
                <w:color w:val="000000"/>
                <w:sz w:val="24"/>
                <w:szCs w:val="24"/>
                <w:lang w:val="es-ES" w:eastAsia="es-ES"/>
              </w:rPr>
              <w:t>.</w:t>
            </w:r>
            <w:r w:rsidRPr="006D1528">
              <w:rPr>
                <w:rFonts w:cs="Calibri"/>
                <w:color w:val="000000"/>
                <w:sz w:val="24"/>
                <w:szCs w:val="24"/>
                <w:lang w:val="es-ES" w:eastAsia="es-ES"/>
              </w:rPr>
              <w:t>"</w:t>
            </w:r>
          </w:p>
        </w:tc>
      </w:tr>
      <w:tr w:rsidR="00856070" w:rsidRPr="00A05F6D" w:rsidTr="006D1528">
        <w:trPr>
          <w:trHeight w:val="600"/>
        </w:trPr>
        <w:tc>
          <w:tcPr>
            <w:tcW w:w="361" w:type="pct"/>
            <w:tcBorders>
              <w:top w:val="nil"/>
              <w:left w:val="single" w:sz="4" w:space="0" w:color="auto"/>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70CH_ESP3</w:t>
            </w:r>
          </w:p>
        </w:tc>
        <w:tc>
          <w:tcPr>
            <w:tcW w:w="1365"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 xml:space="preserve">Licencia </w:t>
            </w:r>
            <w:r>
              <w:rPr>
                <w:rFonts w:cs="Calibri"/>
                <w:color w:val="000000"/>
                <w:sz w:val="24"/>
                <w:szCs w:val="24"/>
                <w:lang w:val="es-ES" w:eastAsia="es-ES"/>
              </w:rPr>
              <w:t>e</w:t>
            </w:r>
            <w:r w:rsidRPr="006D1528">
              <w:rPr>
                <w:rFonts w:cs="Calibri"/>
                <w:color w:val="000000"/>
                <w:sz w:val="24"/>
                <w:szCs w:val="24"/>
                <w:lang w:val="es-ES" w:eastAsia="es-ES"/>
              </w:rPr>
              <w:t xml:space="preserve">special por </w:t>
            </w:r>
            <w:r>
              <w:rPr>
                <w:rFonts w:cs="Calibri"/>
                <w:color w:val="000000"/>
                <w:sz w:val="24"/>
                <w:szCs w:val="24"/>
                <w:lang w:val="es-ES" w:eastAsia="es-ES"/>
              </w:rPr>
              <w:t>a</w:t>
            </w:r>
            <w:r w:rsidRPr="006D1528">
              <w:rPr>
                <w:rFonts w:cs="Calibri"/>
                <w:color w:val="000000"/>
                <w:sz w:val="24"/>
                <w:szCs w:val="24"/>
                <w:lang w:val="es-ES" w:eastAsia="es-ES"/>
              </w:rPr>
              <w:t>lumbramiento</w:t>
            </w:r>
          </w:p>
        </w:tc>
        <w:tc>
          <w:tcPr>
            <w:tcW w:w="280"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Corridos</w:t>
            </w:r>
          </w:p>
        </w:tc>
        <w:tc>
          <w:tcPr>
            <w:tcW w:w="266"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30</w:t>
            </w:r>
          </w:p>
        </w:tc>
        <w:tc>
          <w:tcPr>
            <w:tcW w:w="2728" w:type="pct"/>
            <w:tcBorders>
              <w:top w:val="nil"/>
              <w:left w:val="nil"/>
              <w:bottom w:val="single" w:sz="4" w:space="0" w:color="auto"/>
              <w:right w:val="single" w:sz="4" w:space="0" w:color="auto"/>
            </w:tcBorders>
            <w:vAlign w:val="bottom"/>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 xml:space="preserve">"Cuando el alumbramiento se produzca con posterioridad al periodo preparto, los días que excedan serán justificados como "Licencia </w:t>
            </w:r>
            <w:r>
              <w:rPr>
                <w:rFonts w:cs="Calibri"/>
                <w:color w:val="000000"/>
                <w:sz w:val="24"/>
                <w:szCs w:val="24"/>
                <w:lang w:val="es-ES" w:eastAsia="es-ES"/>
              </w:rPr>
              <w:t>e</w:t>
            </w:r>
            <w:r w:rsidRPr="006D1528">
              <w:rPr>
                <w:rFonts w:cs="Calibri"/>
                <w:color w:val="000000"/>
                <w:sz w:val="24"/>
                <w:szCs w:val="24"/>
                <w:lang w:val="es-ES" w:eastAsia="es-ES"/>
              </w:rPr>
              <w:t xml:space="preserve">special por </w:t>
            </w:r>
            <w:r>
              <w:rPr>
                <w:rFonts w:cs="Calibri"/>
                <w:color w:val="000000"/>
                <w:sz w:val="24"/>
                <w:szCs w:val="24"/>
                <w:lang w:val="es-ES" w:eastAsia="es-ES"/>
              </w:rPr>
              <w:t>a</w:t>
            </w:r>
            <w:r w:rsidRPr="006D1528">
              <w:rPr>
                <w:rFonts w:cs="Calibri"/>
                <w:color w:val="000000"/>
                <w:sz w:val="24"/>
                <w:szCs w:val="24"/>
                <w:lang w:val="es-ES" w:eastAsia="es-ES"/>
              </w:rPr>
              <w:t>lumbramiento</w:t>
            </w:r>
            <w:r>
              <w:rPr>
                <w:rFonts w:cs="Calibri"/>
                <w:color w:val="000000"/>
                <w:sz w:val="24"/>
                <w:szCs w:val="24"/>
                <w:lang w:val="es-ES" w:eastAsia="es-ES"/>
              </w:rPr>
              <w:t>.</w:t>
            </w:r>
            <w:r w:rsidRPr="006D1528">
              <w:rPr>
                <w:rFonts w:cs="Calibri"/>
                <w:color w:val="000000"/>
                <w:sz w:val="24"/>
                <w:szCs w:val="24"/>
                <w:lang w:val="es-ES" w:eastAsia="es-ES"/>
              </w:rPr>
              <w:t>"</w:t>
            </w:r>
          </w:p>
        </w:tc>
      </w:tr>
      <w:tr w:rsidR="00856070" w:rsidRPr="00A05F6D" w:rsidTr="006D1528">
        <w:trPr>
          <w:trHeight w:val="900"/>
        </w:trPr>
        <w:tc>
          <w:tcPr>
            <w:tcW w:w="361" w:type="pct"/>
            <w:tcBorders>
              <w:top w:val="nil"/>
              <w:left w:val="single" w:sz="4" w:space="0" w:color="auto"/>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70CH_NEO</w:t>
            </w:r>
          </w:p>
        </w:tc>
        <w:tc>
          <w:tcPr>
            <w:tcW w:w="1365"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Licencia por embarazo y nacimiento (Neo)</w:t>
            </w:r>
          </w:p>
        </w:tc>
        <w:tc>
          <w:tcPr>
            <w:tcW w:w="280"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Corridos</w:t>
            </w:r>
          </w:p>
        </w:tc>
        <w:tc>
          <w:tcPr>
            <w:tcW w:w="266"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p>
        </w:tc>
        <w:tc>
          <w:tcPr>
            <w:tcW w:w="2728" w:type="pct"/>
            <w:tcBorders>
              <w:top w:val="nil"/>
              <w:left w:val="nil"/>
              <w:bottom w:val="single" w:sz="4" w:space="0" w:color="auto"/>
              <w:right w:val="single" w:sz="4" w:space="0" w:color="auto"/>
            </w:tcBorders>
            <w:vAlign w:val="bottom"/>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"Si alguno/a de los/las recién nacidos/as debiera permanecer internado/a en el área de neonatología, el lapso previsto para el período de post-parto se le adicionarán los días que dure dicha internación</w:t>
            </w:r>
            <w:r>
              <w:rPr>
                <w:rFonts w:cs="Calibri"/>
                <w:color w:val="000000"/>
                <w:sz w:val="24"/>
                <w:szCs w:val="24"/>
                <w:lang w:val="es-ES" w:eastAsia="es-ES"/>
              </w:rPr>
              <w:t>.</w:t>
            </w:r>
            <w:r w:rsidRPr="006D1528">
              <w:rPr>
                <w:rFonts w:cs="Calibri"/>
                <w:color w:val="000000"/>
                <w:sz w:val="24"/>
                <w:szCs w:val="24"/>
                <w:lang w:val="es-ES" w:eastAsia="es-ES"/>
              </w:rPr>
              <w:t>"</w:t>
            </w:r>
          </w:p>
        </w:tc>
      </w:tr>
      <w:tr w:rsidR="00856070" w:rsidRPr="006D1528" w:rsidTr="006D1528">
        <w:trPr>
          <w:trHeight w:val="1200"/>
        </w:trPr>
        <w:tc>
          <w:tcPr>
            <w:tcW w:w="361" w:type="pct"/>
            <w:tcBorders>
              <w:top w:val="nil"/>
              <w:left w:val="single" w:sz="4" w:space="0" w:color="auto"/>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70AA</w:t>
            </w:r>
          </w:p>
        </w:tc>
        <w:tc>
          <w:tcPr>
            <w:tcW w:w="1365"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 xml:space="preserve">Técnicas o </w:t>
            </w:r>
            <w:r>
              <w:rPr>
                <w:rFonts w:cs="Calibri"/>
                <w:color w:val="000000"/>
                <w:sz w:val="24"/>
                <w:szCs w:val="24"/>
                <w:lang w:val="es-ES" w:eastAsia="es-ES"/>
              </w:rPr>
              <w:t>p</w:t>
            </w:r>
            <w:r w:rsidRPr="006D1528">
              <w:rPr>
                <w:rFonts w:cs="Calibri"/>
                <w:color w:val="000000"/>
                <w:sz w:val="24"/>
                <w:szCs w:val="24"/>
                <w:lang w:val="es-ES" w:eastAsia="es-ES"/>
              </w:rPr>
              <w:t xml:space="preserve">rocedimiento de </w:t>
            </w:r>
            <w:r>
              <w:rPr>
                <w:rFonts w:cs="Calibri"/>
                <w:color w:val="000000"/>
                <w:sz w:val="24"/>
                <w:szCs w:val="24"/>
                <w:lang w:val="es-ES" w:eastAsia="es-ES"/>
              </w:rPr>
              <w:t>r</w:t>
            </w:r>
            <w:r w:rsidRPr="006D1528">
              <w:rPr>
                <w:rFonts w:cs="Calibri"/>
                <w:color w:val="000000"/>
                <w:sz w:val="24"/>
                <w:szCs w:val="24"/>
                <w:lang w:val="es-ES" w:eastAsia="es-ES"/>
              </w:rPr>
              <w:t xml:space="preserve">eproducción </w:t>
            </w:r>
            <w:r>
              <w:rPr>
                <w:rFonts w:cs="Calibri"/>
                <w:color w:val="000000"/>
                <w:sz w:val="24"/>
                <w:szCs w:val="24"/>
                <w:lang w:val="es-ES" w:eastAsia="es-ES"/>
              </w:rPr>
              <w:t>a</w:t>
            </w:r>
            <w:r w:rsidRPr="006D1528">
              <w:rPr>
                <w:rFonts w:cs="Calibri"/>
                <w:color w:val="000000"/>
                <w:sz w:val="24"/>
                <w:szCs w:val="24"/>
                <w:lang w:val="es-ES" w:eastAsia="es-ES"/>
              </w:rPr>
              <w:t>sistida</w:t>
            </w:r>
          </w:p>
        </w:tc>
        <w:tc>
          <w:tcPr>
            <w:tcW w:w="280"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Corridos</w:t>
            </w:r>
          </w:p>
        </w:tc>
        <w:tc>
          <w:tcPr>
            <w:tcW w:w="266"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p>
        </w:tc>
        <w:tc>
          <w:tcPr>
            <w:tcW w:w="2728" w:type="pct"/>
            <w:tcBorders>
              <w:top w:val="nil"/>
              <w:left w:val="nil"/>
              <w:bottom w:val="single" w:sz="4" w:space="0" w:color="auto"/>
              <w:right w:val="single" w:sz="4" w:space="0" w:color="auto"/>
            </w:tcBorders>
            <w:vAlign w:val="bottom"/>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 xml:space="preserve">"Los/as trabajadores/as </w:t>
            </w:r>
            <w:r>
              <w:rPr>
                <w:rFonts w:cs="Calibri"/>
                <w:color w:val="000000"/>
                <w:sz w:val="24"/>
                <w:szCs w:val="24"/>
                <w:lang w:val="es-ES" w:eastAsia="es-ES"/>
              </w:rPr>
              <w:t xml:space="preserve">que </w:t>
            </w:r>
            <w:r w:rsidRPr="006D1528">
              <w:rPr>
                <w:rFonts w:cs="Calibri"/>
                <w:color w:val="000000"/>
                <w:sz w:val="24"/>
                <w:szCs w:val="24"/>
                <w:lang w:val="es-ES" w:eastAsia="es-ES"/>
              </w:rPr>
              <w:t>req</w:t>
            </w:r>
            <w:r>
              <w:rPr>
                <w:rFonts w:cs="Calibri"/>
                <w:color w:val="000000"/>
                <w:sz w:val="24"/>
                <w:szCs w:val="24"/>
                <w:lang w:val="es-ES" w:eastAsia="es-ES"/>
              </w:rPr>
              <w:t>u</w:t>
            </w:r>
            <w:r w:rsidRPr="006D1528">
              <w:rPr>
                <w:rFonts w:cs="Calibri"/>
                <w:color w:val="000000"/>
                <w:sz w:val="24"/>
                <w:szCs w:val="24"/>
                <w:lang w:val="es-ES" w:eastAsia="es-ES"/>
              </w:rPr>
              <w:t>ieran la utilización de técnicas o procedimientos de reproducción humana médicamente asistidas, podrá</w:t>
            </w:r>
            <w:r>
              <w:rPr>
                <w:rFonts w:cs="Calibri"/>
                <w:color w:val="000000"/>
                <w:sz w:val="24"/>
                <w:szCs w:val="24"/>
                <w:lang w:val="es-ES" w:eastAsia="es-ES"/>
              </w:rPr>
              <w:t>n</w:t>
            </w:r>
            <w:r w:rsidRPr="006D1528">
              <w:rPr>
                <w:rFonts w:cs="Calibri"/>
                <w:color w:val="000000"/>
                <w:sz w:val="24"/>
                <w:szCs w:val="24"/>
                <w:lang w:val="es-ES" w:eastAsia="es-ES"/>
              </w:rPr>
              <w:t xml:space="preserve"> gozar por año calendario de hasta</w:t>
            </w:r>
            <w:r>
              <w:rPr>
                <w:rFonts w:cs="Calibri"/>
                <w:color w:val="000000"/>
                <w:sz w:val="24"/>
                <w:szCs w:val="24"/>
                <w:lang w:val="es-ES" w:eastAsia="es-ES"/>
              </w:rPr>
              <w:t xml:space="preserve"> </w:t>
            </w:r>
            <w:r w:rsidRPr="006D1528">
              <w:rPr>
                <w:rFonts w:cs="Calibri"/>
                <w:color w:val="000000"/>
                <w:sz w:val="24"/>
                <w:szCs w:val="24"/>
                <w:lang w:val="es-ES" w:eastAsia="es-ES"/>
              </w:rPr>
              <w:t>tr</w:t>
            </w:r>
            <w:r>
              <w:rPr>
                <w:rFonts w:cs="Calibri"/>
                <w:color w:val="000000"/>
                <w:sz w:val="24"/>
                <w:szCs w:val="24"/>
                <w:lang w:val="es-ES" w:eastAsia="es-ES"/>
              </w:rPr>
              <w:t>e</w:t>
            </w:r>
            <w:r w:rsidRPr="006D1528">
              <w:rPr>
                <w:rFonts w:cs="Calibri"/>
                <w:color w:val="000000"/>
                <w:sz w:val="24"/>
                <w:szCs w:val="24"/>
                <w:lang w:val="es-ES" w:eastAsia="es-ES"/>
              </w:rPr>
              <w:t>int</w:t>
            </w:r>
            <w:r>
              <w:rPr>
                <w:rFonts w:cs="Calibri"/>
                <w:color w:val="000000"/>
                <w:sz w:val="24"/>
                <w:szCs w:val="24"/>
                <w:lang w:val="es-ES" w:eastAsia="es-ES"/>
              </w:rPr>
              <w:t>a</w:t>
            </w:r>
            <w:r w:rsidRPr="006D1528">
              <w:rPr>
                <w:rFonts w:cs="Calibri"/>
                <w:color w:val="000000"/>
                <w:sz w:val="24"/>
                <w:szCs w:val="24"/>
                <w:lang w:val="es-ES" w:eastAsia="es-ES"/>
              </w:rPr>
              <w:t xml:space="preserve"> (30) días de licencia con goce íntegro de haberes, por los días continuos o discontinuos que certifique el médico actuante</w:t>
            </w:r>
            <w:r>
              <w:rPr>
                <w:rFonts w:cs="Calibri"/>
                <w:color w:val="000000"/>
                <w:sz w:val="24"/>
                <w:szCs w:val="24"/>
                <w:lang w:val="es-ES" w:eastAsia="es-ES"/>
              </w:rPr>
              <w:t>.</w:t>
            </w:r>
            <w:r w:rsidRPr="006D1528">
              <w:rPr>
                <w:rFonts w:cs="Calibri"/>
                <w:color w:val="000000"/>
                <w:sz w:val="24"/>
                <w:szCs w:val="24"/>
                <w:lang w:val="es-ES" w:eastAsia="es-ES"/>
              </w:rPr>
              <w:t>"</w:t>
            </w:r>
          </w:p>
        </w:tc>
      </w:tr>
      <w:tr w:rsidR="00856070" w:rsidRPr="00A05F6D" w:rsidTr="006D1528">
        <w:trPr>
          <w:trHeight w:val="630"/>
        </w:trPr>
        <w:tc>
          <w:tcPr>
            <w:tcW w:w="361" w:type="pct"/>
            <w:tcBorders>
              <w:top w:val="nil"/>
              <w:left w:val="single" w:sz="4" w:space="0" w:color="auto"/>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70D_A</w:t>
            </w:r>
          </w:p>
        </w:tc>
        <w:tc>
          <w:tcPr>
            <w:tcW w:w="1365"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Adopción hasta 3 años</w:t>
            </w:r>
          </w:p>
        </w:tc>
        <w:tc>
          <w:tcPr>
            <w:tcW w:w="280"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Corridos</w:t>
            </w:r>
          </w:p>
        </w:tc>
        <w:tc>
          <w:tcPr>
            <w:tcW w:w="266"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120</w:t>
            </w:r>
          </w:p>
        </w:tc>
        <w:tc>
          <w:tcPr>
            <w:tcW w:w="2728" w:type="pct"/>
            <w:tcBorders>
              <w:top w:val="nil"/>
              <w:left w:val="nil"/>
              <w:bottom w:val="single" w:sz="4" w:space="0" w:color="auto"/>
              <w:right w:val="single" w:sz="4" w:space="0" w:color="auto"/>
            </w:tcBorders>
            <w:vAlign w:val="bottom"/>
          </w:tcPr>
          <w:p w:rsidR="00856070" w:rsidRPr="006D1528" w:rsidRDefault="00856070" w:rsidP="006D1528">
            <w:pPr>
              <w:spacing w:after="0" w:line="240" w:lineRule="auto"/>
              <w:rPr>
                <w:rFonts w:ascii="Times New Roman" w:hAnsi="Times New Roman"/>
                <w:color w:val="000000"/>
                <w:sz w:val="24"/>
                <w:szCs w:val="24"/>
                <w:lang w:val="es-ES" w:eastAsia="es-ES"/>
              </w:rPr>
            </w:pPr>
            <w:r w:rsidRPr="006D1528">
              <w:rPr>
                <w:rFonts w:ascii="Times New Roman" w:hAnsi="Times New Roman"/>
                <w:color w:val="000000"/>
                <w:sz w:val="24"/>
                <w:szCs w:val="24"/>
                <w:lang w:val="es-ES" w:eastAsia="es-ES"/>
              </w:rPr>
              <w:t>"Quien adopte un niño o niña hasta los tres (3) años de edad tendrá derecho a una licencia de ciento veinte (120) días corridos con goce íntegro de haberes</w:t>
            </w:r>
            <w:r>
              <w:rPr>
                <w:rFonts w:ascii="Times New Roman" w:hAnsi="Times New Roman"/>
                <w:color w:val="000000"/>
                <w:sz w:val="24"/>
                <w:szCs w:val="24"/>
                <w:lang w:val="es-ES" w:eastAsia="es-ES"/>
              </w:rPr>
              <w:t>.</w:t>
            </w:r>
            <w:r w:rsidRPr="006D1528">
              <w:rPr>
                <w:rFonts w:ascii="Times New Roman" w:hAnsi="Times New Roman"/>
                <w:color w:val="000000"/>
                <w:sz w:val="24"/>
                <w:szCs w:val="24"/>
                <w:lang w:val="es-ES" w:eastAsia="es-ES"/>
              </w:rPr>
              <w:t>"</w:t>
            </w:r>
          </w:p>
        </w:tc>
      </w:tr>
      <w:tr w:rsidR="00856070" w:rsidRPr="00A05F6D" w:rsidTr="006D1528">
        <w:trPr>
          <w:trHeight w:val="630"/>
        </w:trPr>
        <w:tc>
          <w:tcPr>
            <w:tcW w:w="361" w:type="pct"/>
            <w:tcBorders>
              <w:top w:val="nil"/>
              <w:left w:val="single" w:sz="4" w:space="0" w:color="auto"/>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70D_B</w:t>
            </w:r>
          </w:p>
        </w:tc>
        <w:tc>
          <w:tcPr>
            <w:tcW w:w="1365"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Adopción entre 3 y 6 años</w:t>
            </w:r>
          </w:p>
        </w:tc>
        <w:tc>
          <w:tcPr>
            <w:tcW w:w="280"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Corridos</w:t>
            </w:r>
          </w:p>
        </w:tc>
        <w:tc>
          <w:tcPr>
            <w:tcW w:w="266"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150</w:t>
            </w:r>
          </w:p>
        </w:tc>
        <w:tc>
          <w:tcPr>
            <w:tcW w:w="2728" w:type="pct"/>
            <w:tcBorders>
              <w:top w:val="nil"/>
              <w:left w:val="nil"/>
              <w:bottom w:val="single" w:sz="4" w:space="0" w:color="auto"/>
              <w:right w:val="single" w:sz="4" w:space="0" w:color="auto"/>
            </w:tcBorders>
            <w:vAlign w:val="bottom"/>
          </w:tcPr>
          <w:p w:rsidR="00856070" w:rsidRPr="006D1528" w:rsidRDefault="00856070" w:rsidP="006D1528">
            <w:pPr>
              <w:spacing w:after="0" w:line="240" w:lineRule="auto"/>
              <w:rPr>
                <w:rFonts w:ascii="Times New Roman" w:hAnsi="Times New Roman"/>
                <w:color w:val="000000"/>
                <w:sz w:val="24"/>
                <w:szCs w:val="24"/>
                <w:lang w:val="es-ES" w:eastAsia="es-ES"/>
              </w:rPr>
            </w:pPr>
            <w:r w:rsidRPr="006D1528">
              <w:rPr>
                <w:rFonts w:ascii="Times New Roman" w:hAnsi="Times New Roman"/>
                <w:color w:val="000000"/>
                <w:sz w:val="24"/>
                <w:szCs w:val="24"/>
                <w:lang w:val="es-ES" w:eastAsia="es-ES"/>
              </w:rPr>
              <w:t>"Quien adopte un niño o niña entre los tres (3) y seis (6) años de edad tendrá derecho a una licencia de ciento cincuenta (150) días corridos con goce íntegro de haberes."</w:t>
            </w:r>
          </w:p>
        </w:tc>
      </w:tr>
      <w:tr w:rsidR="00856070" w:rsidRPr="0057426C" w:rsidTr="006D1528">
        <w:trPr>
          <w:trHeight w:val="630"/>
        </w:trPr>
        <w:tc>
          <w:tcPr>
            <w:tcW w:w="361" w:type="pct"/>
            <w:tcBorders>
              <w:top w:val="nil"/>
              <w:left w:val="single" w:sz="4" w:space="0" w:color="auto"/>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70D_C</w:t>
            </w:r>
          </w:p>
        </w:tc>
        <w:tc>
          <w:tcPr>
            <w:tcW w:w="1365"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Adopción entre 6 y 10 años</w:t>
            </w:r>
          </w:p>
        </w:tc>
        <w:tc>
          <w:tcPr>
            <w:tcW w:w="280"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Corridos</w:t>
            </w:r>
          </w:p>
        </w:tc>
        <w:tc>
          <w:tcPr>
            <w:tcW w:w="266"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180</w:t>
            </w:r>
          </w:p>
        </w:tc>
        <w:tc>
          <w:tcPr>
            <w:tcW w:w="2728" w:type="pct"/>
            <w:tcBorders>
              <w:top w:val="nil"/>
              <w:left w:val="nil"/>
              <w:bottom w:val="single" w:sz="4" w:space="0" w:color="auto"/>
              <w:right w:val="single" w:sz="4" w:space="0" w:color="auto"/>
            </w:tcBorders>
            <w:vAlign w:val="bottom"/>
          </w:tcPr>
          <w:p w:rsidR="00856070" w:rsidRPr="006D1528" w:rsidRDefault="00856070" w:rsidP="006D1528">
            <w:pPr>
              <w:spacing w:after="0" w:line="240" w:lineRule="auto"/>
              <w:rPr>
                <w:rFonts w:ascii="Times New Roman" w:hAnsi="Times New Roman"/>
                <w:color w:val="000000"/>
                <w:sz w:val="24"/>
                <w:szCs w:val="24"/>
                <w:lang w:val="es-ES" w:eastAsia="es-ES"/>
              </w:rPr>
            </w:pPr>
            <w:r w:rsidRPr="006D1528">
              <w:rPr>
                <w:rFonts w:ascii="Times New Roman" w:hAnsi="Times New Roman"/>
                <w:color w:val="000000"/>
                <w:sz w:val="24"/>
                <w:szCs w:val="24"/>
                <w:lang w:val="es-ES" w:eastAsia="es-ES"/>
              </w:rPr>
              <w:t>"Quien adopte un niño o niña entre los seis (6) y diez (10) años de edad tendrá derecho a una licencia de ciento ochenta (180) días corridos con goce íntegro de haberes."</w:t>
            </w:r>
          </w:p>
        </w:tc>
      </w:tr>
      <w:tr w:rsidR="00856070" w:rsidRPr="006D1528" w:rsidTr="006D1528">
        <w:trPr>
          <w:trHeight w:val="945"/>
        </w:trPr>
        <w:tc>
          <w:tcPr>
            <w:tcW w:w="361" w:type="pct"/>
            <w:tcBorders>
              <w:top w:val="nil"/>
              <w:left w:val="single" w:sz="4" w:space="0" w:color="auto"/>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70D_D</w:t>
            </w:r>
          </w:p>
        </w:tc>
        <w:tc>
          <w:tcPr>
            <w:tcW w:w="1365"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Adopción entre 10 y 18 años</w:t>
            </w:r>
          </w:p>
        </w:tc>
        <w:tc>
          <w:tcPr>
            <w:tcW w:w="280"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Corridos</w:t>
            </w:r>
          </w:p>
        </w:tc>
        <w:tc>
          <w:tcPr>
            <w:tcW w:w="266"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210</w:t>
            </w:r>
          </w:p>
        </w:tc>
        <w:tc>
          <w:tcPr>
            <w:tcW w:w="2728"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jc w:val="both"/>
              <w:rPr>
                <w:rFonts w:ascii="Times New Roman" w:hAnsi="Times New Roman"/>
                <w:color w:val="000000"/>
                <w:sz w:val="24"/>
                <w:szCs w:val="24"/>
                <w:lang w:val="es-ES" w:eastAsia="es-ES"/>
              </w:rPr>
            </w:pPr>
            <w:r w:rsidRPr="006D1528">
              <w:rPr>
                <w:rFonts w:ascii="Times New Roman" w:hAnsi="Times New Roman"/>
                <w:color w:val="000000"/>
                <w:sz w:val="24"/>
                <w:szCs w:val="24"/>
                <w:lang w:val="es-ES" w:eastAsia="es-ES"/>
              </w:rPr>
              <w:t xml:space="preserve">"Quien adopte un niño, niña o adolescente entre los diez (10) y dieciocho (18) años de edad tendrá derecho a una licencia de doscientos diez (210) días corridos con goce </w:t>
            </w:r>
            <w:r>
              <w:rPr>
                <w:rFonts w:ascii="Times New Roman" w:hAnsi="Times New Roman"/>
                <w:color w:val="000000"/>
                <w:sz w:val="24"/>
                <w:szCs w:val="24"/>
                <w:lang w:val="es-ES" w:eastAsia="es-ES"/>
              </w:rPr>
              <w:t>í</w:t>
            </w:r>
            <w:r w:rsidRPr="006D1528">
              <w:rPr>
                <w:rFonts w:ascii="Times New Roman" w:hAnsi="Times New Roman"/>
                <w:color w:val="000000"/>
                <w:sz w:val="24"/>
                <w:szCs w:val="24"/>
                <w:lang w:val="es-ES" w:eastAsia="es-ES"/>
              </w:rPr>
              <w:t>ntegro de haberes."</w:t>
            </w:r>
          </w:p>
        </w:tc>
      </w:tr>
      <w:tr w:rsidR="00856070" w:rsidRPr="006D1528" w:rsidTr="006D1528">
        <w:trPr>
          <w:trHeight w:val="945"/>
        </w:trPr>
        <w:tc>
          <w:tcPr>
            <w:tcW w:w="361" w:type="pct"/>
            <w:tcBorders>
              <w:top w:val="nil"/>
              <w:left w:val="single" w:sz="4" w:space="0" w:color="auto"/>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70D_MUL</w:t>
            </w:r>
          </w:p>
        </w:tc>
        <w:tc>
          <w:tcPr>
            <w:tcW w:w="1365"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 xml:space="preserve">Adopción </w:t>
            </w:r>
            <w:r>
              <w:rPr>
                <w:rFonts w:cs="Calibri"/>
                <w:color w:val="000000"/>
                <w:sz w:val="24"/>
                <w:szCs w:val="24"/>
                <w:lang w:val="es-ES" w:eastAsia="es-ES"/>
              </w:rPr>
              <w:t>m</w:t>
            </w:r>
            <w:r w:rsidRPr="006D1528">
              <w:rPr>
                <w:rFonts w:cs="Calibri"/>
                <w:color w:val="000000"/>
                <w:sz w:val="24"/>
                <w:szCs w:val="24"/>
                <w:lang w:val="es-ES" w:eastAsia="es-ES"/>
              </w:rPr>
              <w:t>últiple</w:t>
            </w:r>
          </w:p>
        </w:tc>
        <w:tc>
          <w:tcPr>
            <w:tcW w:w="280"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Corridos</w:t>
            </w:r>
          </w:p>
        </w:tc>
        <w:tc>
          <w:tcPr>
            <w:tcW w:w="266"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30</w:t>
            </w:r>
          </w:p>
        </w:tc>
        <w:tc>
          <w:tcPr>
            <w:tcW w:w="2728"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jc w:val="both"/>
              <w:rPr>
                <w:rFonts w:ascii="Times New Roman" w:hAnsi="Times New Roman"/>
                <w:color w:val="000000"/>
                <w:sz w:val="24"/>
                <w:szCs w:val="24"/>
                <w:lang w:val="es-ES" w:eastAsia="es-ES"/>
              </w:rPr>
            </w:pPr>
            <w:r w:rsidRPr="006D1528">
              <w:rPr>
                <w:rFonts w:ascii="Times New Roman" w:hAnsi="Times New Roman"/>
                <w:color w:val="000000"/>
                <w:sz w:val="24"/>
                <w:szCs w:val="24"/>
                <w:lang w:val="es-ES" w:eastAsia="es-ES"/>
              </w:rPr>
              <w:t>"En todos los supuestos, en caso de adopciones de tres o más adoptados/as, se acumularán a los plazos previstos en los puntos a), b), c) y d) del presente inciso, treinta (30) días corridos con goce de haberes por cada niño, niña o adolescente adoptado/a después de el/la segundo/a."</w:t>
            </w:r>
          </w:p>
        </w:tc>
      </w:tr>
      <w:tr w:rsidR="00856070" w:rsidRPr="006D1528" w:rsidTr="006D1528">
        <w:trPr>
          <w:trHeight w:val="1260"/>
        </w:trPr>
        <w:tc>
          <w:tcPr>
            <w:tcW w:w="361" w:type="pct"/>
            <w:tcBorders>
              <w:top w:val="nil"/>
              <w:left w:val="single" w:sz="4" w:space="0" w:color="auto"/>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70D_EXT</w:t>
            </w:r>
          </w:p>
        </w:tc>
        <w:tc>
          <w:tcPr>
            <w:tcW w:w="1365"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 xml:space="preserve">Licencia por </w:t>
            </w:r>
            <w:r>
              <w:rPr>
                <w:rFonts w:cs="Calibri"/>
                <w:color w:val="000000"/>
                <w:sz w:val="24"/>
                <w:szCs w:val="24"/>
                <w:lang w:val="es-ES" w:eastAsia="es-ES"/>
              </w:rPr>
              <w:t>a</w:t>
            </w:r>
            <w:r w:rsidRPr="006D1528">
              <w:rPr>
                <w:rFonts w:cs="Calibri"/>
                <w:color w:val="000000"/>
                <w:sz w:val="24"/>
                <w:szCs w:val="24"/>
                <w:lang w:val="es-ES" w:eastAsia="es-ES"/>
              </w:rPr>
              <w:t>dopción (</w:t>
            </w:r>
            <w:r>
              <w:rPr>
                <w:rFonts w:cs="Calibri"/>
                <w:color w:val="000000"/>
                <w:sz w:val="24"/>
                <w:szCs w:val="24"/>
                <w:lang w:val="es-ES" w:eastAsia="es-ES"/>
              </w:rPr>
              <w:t>e</w:t>
            </w:r>
            <w:r w:rsidRPr="006D1528">
              <w:rPr>
                <w:rFonts w:cs="Calibri"/>
                <w:color w:val="000000"/>
                <w:sz w:val="24"/>
                <w:szCs w:val="24"/>
                <w:lang w:val="es-ES" w:eastAsia="es-ES"/>
              </w:rPr>
              <w:t xml:space="preserve">xtensión </w:t>
            </w:r>
            <w:r>
              <w:rPr>
                <w:rFonts w:cs="Calibri"/>
                <w:color w:val="000000"/>
                <w:sz w:val="24"/>
                <w:szCs w:val="24"/>
                <w:lang w:val="es-ES" w:eastAsia="es-ES"/>
              </w:rPr>
              <w:t>s</w:t>
            </w:r>
            <w:r w:rsidRPr="006D1528">
              <w:rPr>
                <w:rFonts w:cs="Calibri"/>
                <w:color w:val="000000"/>
                <w:sz w:val="24"/>
                <w:szCs w:val="24"/>
                <w:lang w:val="es-ES" w:eastAsia="es-ES"/>
              </w:rPr>
              <w:t xml:space="preserve">in </w:t>
            </w:r>
            <w:r>
              <w:rPr>
                <w:rFonts w:cs="Calibri"/>
                <w:color w:val="000000"/>
                <w:sz w:val="24"/>
                <w:szCs w:val="24"/>
                <w:lang w:val="es-ES" w:eastAsia="es-ES"/>
              </w:rPr>
              <w:t>s</w:t>
            </w:r>
            <w:r w:rsidRPr="006D1528">
              <w:rPr>
                <w:rFonts w:cs="Calibri"/>
                <w:color w:val="000000"/>
                <w:sz w:val="24"/>
                <w:szCs w:val="24"/>
                <w:lang w:val="es-ES" w:eastAsia="es-ES"/>
              </w:rPr>
              <w:t>ueldo)</w:t>
            </w:r>
          </w:p>
        </w:tc>
        <w:tc>
          <w:tcPr>
            <w:tcW w:w="280"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Corridos</w:t>
            </w:r>
          </w:p>
        </w:tc>
        <w:tc>
          <w:tcPr>
            <w:tcW w:w="266"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120</w:t>
            </w:r>
          </w:p>
        </w:tc>
        <w:tc>
          <w:tcPr>
            <w:tcW w:w="2728"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jc w:val="both"/>
              <w:rPr>
                <w:rFonts w:ascii="Times New Roman" w:hAnsi="Times New Roman"/>
                <w:color w:val="000000"/>
                <w:sz w:val="24"/>
                <w:szCs w:val="24"/>
                <w:lang w:val="es-ES" w:eastAsia="es-ES"/>
              </w:rPr>
            </w:pPr>
            <w:r w:rsidRPr="006D1528">
              <w:rPr>
                <w:rFonts w:ascii="Times New Roman" w:hAnsi="Times New Roman"/>
                <w:color w:val="000000"/>
                <w:sz w:val="24"/>
                <w:szCs w:val="24"/>
                <w:lang w:val="es-ES" w:eastAsia="es-ES"/>
              </w:rPr>
              <w:t>"Vencidos los plazos de las licencias previstas en los puntos 1 y 4, inciso d) del artículo 69, cada uno/a de los/las adoptantes podrá solicitar una licencia sin goce de haberes por un plazo de hasta ciento veinte (120) días corridos, la que podrá ser usufructuada dentro del año de notificado el otorgamiento de la guarda con vistas a la futura adopción."</w:t>
            </w:r>
          </w:p>
        </w:tc>
      </w:tr>
      <w:tr w:rsidR="00856070" w:rsidRPr="006D1528" w:rsidTr="006D1528">
        <w:trPr>
          <w:trHeight w:val="1890"/>
        </w:trPr>
        <w:tc>
          <w:tcPr>
            <w:tcW w:w="361" w:type="pct"/>
            <w:tcBorders>
              <w:top w:val="nil"/>
              <w:left w:val="single" w:sz="4" w:space="0" w:color="auto"/>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70D_T</w:t>
            </w:r>
          </w:p>
        </w:tc>
        <w:tc>
          <w:tcPr>
            <w:tcW w:w="1365"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 xml:space="preserve">Licencia </w:t>
            </w:r>
            <w:r>
              <w:rPr>
                <w:rFonts w:cs="Calibri"/>
                <w:color w:val="000000"/>
                <w:sz w:val="24"/>
                <w:szCs w:val="24"/>
                <w:lang w:val="es-ES" w:eastAsia="es-ES"/>
              </w:rPr>
              <w:t xml:space="preserve">por </w:t>
            </w:r>
            <w:r w:rsidRPr="006D1528">
              <w:rPr>
                <w:rFonts w:cs="Calibri"/>
                <w:color w:val="000000"/>
                <w:sz w:val="24"/>
                <w:szCs w:val="24"/>
                <w:lang w:val="es-ES" w:eastAsia="es-ES"/>
              </w:rPr>
              <w:t>tr</w:t>
            </w:r>
            <w:r>
              <w:rPr>
                <w:rFonts w:cs="Calibri"/>
                <w:color w:val="000000"/>
                <w:sz w:val="24"/>
                <w:szCs w:val="24"/>
                <w:lang w:val="es-ES" w:eastAsia="es-ES"/>
              </w:rPr>
              <w:t>á</w:t>
            </w:r>
            <w:r w:rsidRPr="006D1528">
              <w:rPr>
                <w:rFonts w:cs="Calibri"/>
                <w:color w:val="000000"/>
                <w:sz w:val="24"/>
                <w:szCs w:val="24"/>
                <w:lang w:val="es-ES" w:eastAsia="es-ES"/>
              </w:rPr>
              <w:t>mites vinculados a la adopción</w:t>
            </w:r>
          </w:p>
        </w:tc>
        <w:tc>
          <w:tcPr>
            <w:tcW w:w="280"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Corridos</w:t>
            </w:r>
          </w:p>
        </w:tc>
        <w:tc>
          <w:tcPr>
            <w:tcW w:w="266"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10 anual</w:t>
            </w:r>
          </w:p>
        </w:tc>
        <w:tc>
          <w:tcPr>
            <w:tcW w:w="2728" w:type="pct"/>
            <w:tcBorders>
              <w:top w:val="nil"/>
              <w:left w:val="nil"/>
              <w:bottom w:val="single" w:sz="4" w:space="0" w:color="auto"/>
              <w:right w:val="single" w:sz="4" w:space="0" w:color="auto"/>
            </w:tcBorders>
            <w:vAlign w:val="bottom"/>
          </w:tcPr>
          <w:p w:rsidR="00856070" w:rsidRPr="006D1528" w:rsidRDefault="00856070" w:rsidP="006D1528">
            <w:pPr>
              <w:spacing w:after="0" w:line="240" w:lineRule="auto"/>
              <w:rPr>
                <w:rFonts w:ascii="Times New Roman" w:hAnsi="Times New Roman"/>
                <w:color w:val="000000"/>
                <w:sz w:val="24"/>
                <w:szCs w:val="24"/>
                <w:lang w:val="es-ES" w:eastAsia="es-ES"/>
              </w:rPr>
            </w:pPr>
            <w:r w:rsidRPr="006D1528">
              <w:rPr>
                <w:rFonts w:ascii="Times New Roman" w:hAnsi="Times New Roman"/>
                <w:color w:val="000000"/>
                <w:sz w:val="24"/>
                <w:szCs w:val="24"/>
                <w:lang w:val="es-ES" w:eastAsia="es-ES"/>
              </w:rPr>
              <w:t>"Los/las docentes comprendidos/as en la presente ordenanza tienen derecho a una licencia con goce de haberes de dos (2) días corridos con un máximo de diez (10) días por año para realizar trámites vinculados a la adopción, cumplir con las instancias de evaluación exigidas por los respectivos organismos públicos de aspirantes a guarda con fines de adopción o para concurrir a las audiencias, visitas u otras medidas que disponga el juez competente, con carácter previo a otorgar la guarda con fines de adopción</w:t>
            </w:r>
            <w:r>
              <w:rPr>
                <w:rFonts w:ascii="Times New Roman" w:hAnsi="Times New Roman"/>
                <w:color w:val="000000"/>
                <w:sz w:val="24"/>
                <w:szCs w:val="24"/>
                <w:lang w:val="es-ES" w:eastAsia="es-ES"/>
              </w:rPr>
              <w:t>.</w:t>
            </w:r>
            <w:r w:rsidRPr="006D1528">
              <w:rPr>
                <w:rFonts w:ascii="Times New Roman" w:hAnsi="Times New Roman"/>
                <w:color w:val="000000"/>
                <w:sz w:val="24"/>
                <w:szCs w:val="24"/>
                <w:lang w:val="es-ES" w:eastAsia="es-ES"/>
              </w:rPr>
              <w:t>"</w:t>
            </w:r>
          </w:p>
        </w:tc>
      </w:tr>
      <w:tr w:rsidR="00856070" w:rsidRPr="006D1528" w:rsidTr="006D1528">
        <w:trPr>
          <w:trHeight w:val="945"/>
        </w:trPr>
        <w:tc>
          <w:tcPr>
            <w:tcW w:w="361" w:type="pct"/>
            <w:tcBorders>
              <w:top w:val="nil"/>
              <w:left w:val="single" w:sz="4" w:space="0" w:color="auto"/>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70D_4</w:t>
            </w:r>
          </w:p>
        </w:tc>
        <w:tc>
          <w:tcPr>
            <w:tcW w:w="1365"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 xml:space="preserve">Licencia por </w:t>
            </w:r>
            <w:r>
              <w:rPr>
                <w:rFonts w:cs="Calibri"/>
                <w:color w:val="000000"/>
                <w:sz w:val="24"/>
                <w:szCs w:val="24"/>
                <w:lang w:val="es-ES" w:eastAsia="es-ES"/>
              </w:rPr>
              <w:t>a</w:t>
            </w:r>
            <w:r w:rsidRPr="006D1528">
              <w:rPr>
                <w:rFonts w:cs="Calibri"/>
                <w:color w:val="000000"/>
                <w:sz w:val="24"/>
                <w:szCs w:val="24"/>
                <w:lang w:val="es-ES" w:eastAsia="es-ES"/>
              </w:rPr>
              <w:t>dopción punto 4</w:t>
            </w:r>
          </w:p>
        </w:tc>
        <w:tc>
          <w:tcPr>
            <w:tcW w:w="280"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Corridos</w:t>
            </w:r>
          </w:p>
        </w:tc>
        <w:tc>
          <w:tcPr>
            <w:tcW w:w="266"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15</w:t>
            </w:r>
          </w:p>
        </w:tc>
        <w:tc>
          <w:tcPr>
            <w:tcW w:w="2728" w:type="pct"/>
            <w:tcBorders>
              <w:top w:val="nil"/>
              <w:left w:val="nil"/>
              <w:bottom w:val="nil"/>
              <w:right w:val="nil"/>
            </w:tcBorders>
            <w:vAlign w:val="bottom"/>
          </w:tcPr>
          <w:p w:rsidR="00856070" w:rsidRPr="006D1528" w:rsidRDefault="00856070" w:rsidP="006D1528">
            <w:pPr>
              <w:spacing w:after="0" w:line="240" w:lineRule="auto"/>
              <w:rPr>
                <w:rFonts w:ascii="Times New Roman" w:hAnsi="Times New Roman"/>
                <w:color w:val="000000"/>
                <w:sz w:val="24"/>
                <w:szCs w:val="24"/>
                <w:lang w:val="es-ES" w:eastAsia="es-ES"/>
              </w:rPr>
            </w:pPr>
            <w:r w:rsidRPr="006D1528">
              <w:rPr>
                <w:rFonts w:ascii="Times New Roman" w:hAnsi="Times New Roman"/>
                <w:color w:val="000000"/>
                <w:sz w:val="24"/>
                <w:szCs w:val="24"/>
                <w:lang w:val="es-ES" w:eastAsia="es-ES"/>
              </w:rPr>
              <w:t>El/la coadoptante que no usufructúe la licencia por adopción, tendrá derecho a una licencia con goce de haberes de quince (15) días corridos a partir de la notificación del otorgamiento de la guarda con vistas a la adopción.</w:t>
            </w:r>
          </w:p>
        </w:tc>
      </w:tr>
      <w:tr w:rsidR="00856070" w:rsidRPr="0057426C" w:rsidTr="006D1528">
        <w:trPr>
          <w:trHeight w:val="945"/>
        </w:trPr>
        <w:tc>
          <w:tcPr>
            <w:tcW w:w="361" w:type="pct"/>
            <w:tcBorders>
              <w:top w:val="nil"/>
              <w:left w:val="single" w:sz="4" w:space="0" w:color="auto"/>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70D_4BIS</w:t>
            </w:r>
          </w:p>
        </w:tc>
        <w:tc>
          <w:tcPr>
            <w:tcW w:w="1365"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 xml:space="preserve">Licencia por </w:t>
            </w:r>
            <w:r>
              <w:rPr>
                <w:rFonts w:cs="Calibri"/>
                <w:color w:val="000000"/>
                <w:sz w:val="24"/>
                <w:szCs w:val="24"/>
                <w:lang w:val="es-ES" w:eastAsia="es-ES"/>
              </w:rPr>
              <w:t>a</w:t>
            </w:r>
            <w:r w:rsidRPr="006D1528">
              <w:rPr>
                <w:rFonts w:cs="Calibri"/>
                <w:color w:val="000000"/>
                <w:sz w:val="24"/>
                <w:szCs w:val="24"/>
                <w:lang w:val="es-ES" w:eastAsia="es-ES"/>
              </w:rPr>
              <w:t>dopción punto 4</w:t>
            </w:r>
          </w:p>
        </w:tc>
        <w:tc>
          <w:tcPr>
            <w:tcW w:w="280"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Corridos</w:t>
            </w:r>
          </w:p>
        </w:tc>
        <w:tc>
          <w:tcPr>
            <w:tcW w:w="266"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30</w:t>
            </w:r>
          </w:p>
        </w:tc>
        <w:tc>
          <w:tcPr>
            <w:tcW w:w="2728" w:type="pct"/>
            <w:tcBorders>
              <w:top w:val="nil"/>
              <w:left w:val="nil"/>
              <w:bottom w:val="nil"/>
              <w:right w:val="nil"/>
            </w:tcBorders>
            <w:vAlign w:val="bottom"/>
          </w:tcPr>
          <w:p w:rsidR="00856070" w:rsidRPr="006D1528" w:rsidRDefault="00856070" w:rsidP="006D1528">
            <w:pPr>
              <w:spacing w:after="0" w:line="240" w:lineRule="auto"/>
              <w:rPr>
                <w:rFonts w:ascii="Times New Roman" w:hAnsi="Times New Roman"/>
                <w:color w:val="000000"/>
                <w:sz w:val="24"/>
                <w:szCs w:val="24"/>
                <w:lang w:val="es-ES" w:eastAsia="es-ES"/>
              </w:rPr>
            </w:pPr>
            <w:r w:rsidRPr="006D1528">
              <w:rPr>
                <w:rFonts w:ascii="Times New Roman" w:hAnsi="Times New Roman"/>
                <w:color w:val="000000"/>
                <w:sz w:val="24"/>
                <w:szCs w:val="24"/>
                <w:lang w:val="es-ES" w:eastAsia="es-ES"/>
              </w:rPr>
              <w:t>Asimismo, tendrá derecho a una licencia con goce de haberes de treinta (30) días corridos no fraccionables e intransferibles que podrá usufructuar en cualquier momento dentro del año de notificación del otorgamiento de la guarda con vistas a la futura adopción.</w:t>
            </w:r>
          </w:p>
        </w:tc>
      </w:tr>
      <w:tr w:rsidR="00856070" w:rsidRPr="006D1528" w:rsidTr="006D1528">
        <w:trPr>
          <w:trHeight w:val="1575"/>
        </w:trPr>
        <w:tc>
          <w:tcPr>
            <w:tcW w:w="361" w:type="pct"/>
            <w:tcBorders>
              <w:top w:val="nil"/>
              <w:left w:val="single" w:sz="4" w:space="0" w:color="auto"/>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70P</w:t>
            </w:r>
          </w:p>
        </w:tc>
        <w:tc>
          <w:tcPr>
            <w:tcW w:w="1365"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Licencia por prevención de cáncer</w:t>
            </w:r>
          </w:p>
        </w:tc>
        <w:tc>
          <w:tcPr>
            <w:tcW w:w="280"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Hábil</w:t>
            </w:r>
          </w:p>
        </w:tc>
        <w:tc>
          <w:tcPr>
            <w:tcW w:w="266"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1</w:t>
            </w:r>
          </w:p>
        </w:tc>
        <w:tc>
          <w:tcPr>
            <w:tcW w:w="2728" w:type="pct"/>
            <w:tcBorders>
              <w:top w:val="single" w:sz="4" w:space="0" w:color="auto"/>
              <w:left w:val="nil"/>
              <w:bottom w:val="single" w:sz="4" w:space="0" w:color="auto"/>
              <w:right w:val="single" w:sz="4" w:space="0" w:color="auto"/>
            </w:tcBorders>
            <w:vAlign w:val="bottom"/>
          </w:tcPr>
          <w:p w:rsidR="00856070" w:rsidRPr="006D1528" w:rsidRDefault="00856070" w:rsidP="0057426C">
            <w:pPr>
              <w:spacing w:after="0" w:line="240" w:lineRule="auto"/>
              <w:rPr>
                <w:rFonts w:ascii="Times New Roman" w:hAnsi="Times New Roman"/>
                <w:color w:val="000000"/>
                <w:sz w:val="24"/>
                <w:szCs w:val="24"/>
                <w:lang w:val="es-ES" w:eastAsia="es-ES"/>
              </w:rPr>
            </w:pPr>
            <w:r w:rsidRPr="006D1528">
              <w:rPr>
                <w:rFonts w:ascii="Times New Roman" w:hAnsi="Times New Roman"/>
                <w:color w:val="000000"/>
                <w:sz w:val="24"/>
                <w:szCs w:val="24"/>
                <w:lang w:val="es-ES" w:eastAsia="es-ES"/>
              </w:rPr>
              <w:t>"Los docentes tienen derecho a la justificación de un (1) día hábil por año calendario para realizarse controles preventivos de cáncer mamario o prostático, según los siguientes criterios:</w:t>
            </w:r>
            <w:r>
              <w:rPr>
                <w:rFonts w:ascii="Times New Roman" w:hAnsi="Times New Roman"/>
                <w:color w:val="000000"/>
                <w:sz w:val="24"/>
                <w:szCs w:val="24"/>
                <w:lang w:val="es-ES" w:eastAsia="es-ES"/>
              </w:rPr>
              <w:br/>
            </w:r>
            <w:r w:rsidRPr="006D1528">
              <w:rPr>
                <w:rFonts w:ascii="Times New Roman" w:hAnsi="Times New Roman"/>
                <w:color w:val="000000"/>
                <w:sz w:val="24"/>
                <w:szCs w:val="24"/>
                <w:lang w:val="es-ES" w:eastAsia="es-ES"/>
              </w:rPr>
              <w:t>1) Las mujeres a fin de realizar el control ginecológico completo: Papanicolaou, colposcopia y examen de mamas.</w:t>
            </w:r>
            <w:r>
              <w:rPr>
                <w:rFonts w:ascii="Times New Roman" w:hAnsi="Times New Roman"/>
                <w:color w:val="000000"/>
                <w:sz w:val="24"/>
                <w:szCs w:val="24"/>
                <w:lang w:val="es-ES" w:eastAsia="es-ES"/>
              </w:rPr>
              <w:br/>
            </w:r>
            <w:r w:rsidRPr="006D1528">
              <w:rPr>
                <w:rFonts w:ascii="Times New Roman" w:hAnsi="Times New Roman"/>
                <w:color w:val="000000"/>
                <w:sz w:val="24"/>
                <w:szCs w:val="24"/>
                <w:lang w:val="es-ES" w:eastAsia="es-ES"/>
              </w:rPr>
              <w:t>2) Los varones, mayores de cuarenta y cinco (45) años, a fin de realizar el control del Antígeno Prostático Específico (PSA)."</w:t>
            </w:r>
          </w:p>
        </w:tc>
      </w:tr>
      <w:tr w:rsidR="00856070" w:rsidRPr="006D1528" w:rsidTr="006D1528">
        <w:trPr>
          <w:trHeight w:val="1575"/>
        </w:trPr>
        <w:tc>
          <w:tcPr>
            <w:tcW w:w="361" w:type="pct"/>
            <w:tcBorders>
              <w:top w:val="nil"/>
              <w:left w:val="single" w:sz="4" w:space="0" w:color="auto"/>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70Q</w:t>
            </w:r>
          </w:p>
        </w:tc>
        <w:tc>
          <w:tcPr>
            <w:tcW w:w="1365"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 xml:space="preserve">Nacimiento de </w:t>
            </w:r>
            <w:r>
              <w:rPr>
                <w:rFonts w:cs="Calibri"/>
                <w:color w:val="000000"/>
                <w:sz w:val="24"/>
                <w:szCs w:val="24"/>
                <w:lang w:val="es-ES" w:eastAsia="es-ES"/>
              </w:rPr>
              <w:t>h</w:t>
            </w:r>
            <w:r w:rsidRPr="006D1528">
              <w:rPr>
                <w:rFonts w:cs="Calibri"/>
                <w:color w:val="000000"/>
                <w:sz w:val="24"/>
                <w:szCs w:val="24"/>
                <w:lang w:val="es-ES" w:eastAsia="es-ES"/>
              </w:rPr>
              <w:t xml:space="preserve">ijo / Licencia </w:t>
            </w:r>
            <w:r>
              <w:rPr>
                <w:rFonts w:cs="Calibri"/>
                <w:color w:val="000000"/>
                <w:sz w:val="24"/>
                <w:szCs w:val="24"/>
                <w:lang w:val="es-ES" w:eastAsia="es-ES"/>
              </w:rPr>
              <w:t>o</w:t>
            </w:r>
            <w:r w:rsidRPr="006D1528">
              <w:rPr>
                <w:rFonts w:cs="Calibri"/>
                <w:color w:val="000000"/>
                <w:sz w:val="24"/>
                <w:szCs w:val="24"/>
                <w:lang w:val="es-ES" w:eastAsia="es-ES"/>
              </w:rPr>
              <w:t xml:space="preserve">tro </w:t>
            </w:r>
            <w:r>
              <w:rPr>
                <w:rFonts w:cs="Calibri"/>
                <w:color w:val="000000"/>
                <w:sz w:val="24"/>
                <w:szCs w:val="24"/>
                <w:lang w:val="es-ES" w:eastAsia="es-ES"/>
              </w:rPr>
              <w:t>a</w:t>
            </w:r>
            <w:r w:rsidRPr="006D1528">
              <w:rPr>
                <w:rFonts w:cs="Calibri"/>
                <w:color w:val="000000"/>
                <w:sz w:val="24"/>
                <w:szCs w:val="24"/>
                <w:lang w:val="es-ES" w:eastAsia="es-ES"/>
              </w:rPr>
              <w:t>doptante</w:t>
            </w:r>
          </w:p>
        </w:tc>
        <w:tc>
          <w:tcPr>
            <w:tcW w:w="280"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Corridos</w:t>
            </w:r>
          </w:p>
        </w:tc>
        <w:tc>
          <w:tcPr>
            <w:tcW w:w="266"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15</w:t>
            </w:r>
          </w:p>
        </w:tc>
        <w:tc>
          <w:tcPr>
            <w:tcW w:w="2728" w:type="pct"/>
            <w:tcBorders>
              <w:top w:val="nil"/>
              <w:left w:val="nil"/>
              <w:bottom w:val="single" w:sz="4" w:space="0" w:color="auto"/>
              <w:right w:val="single" w:sz="4" w:space="0" w:color="auto"/>
            </w:tcBorders>
            <w:vAlign w:val="bottom"/>
          </w:tcPr>
          <w:p w:rsidR="00856070" w:rsidRPr="006D1528" w:rsidRDefault="00856070" w:rsidP="006D1528">
            <w:pPr>
              <w:spacing w:after="0" w:line="240" w:lineRule="auto"/>
              <w:rPr>
                <w:rFonts w:ascii="Times New Roman" w:hAnsi="Times New Roman"/>
                <w:color w:val="000000"/>
                <w:sz w:val="24"/>
                <w:szCs w:val="24"/>
                <w:lang w:val="es-ES" w:eastAsia="es-ES"/>
              </w:rPr>
            </w:pPr>
            <w:r w:rsidRPr="006D1528">
              <w:rPr>
                <w:rFonts w:ascii="Times New Roman" w:hAnsi="Times New Roman"/>
                <w:color w:val="000000"/>
                <w:sz w:val="24"/>
                <w:szCs w:val="24"/>
                <w:lang w:val="es-ES" w:eastAsia="es-ES"/>
              </w:rPr>
              <w:t>"Por nacimiento de hijo/a, los/as progenitores/as no gestantes tienen derecho a una licencia con goce de haberes de quince (15) días corridos a partir de la fecha del nacimiento."</w:t>
            </w:r>
            <w:r>
              <w:rPr>
                <w:rFonts w:ascii="Times New Roman" w:hAnsi="Times New Roman"/>
                <w:color w:val="000000"/>
                <w:sz w:val="24"/>
                <w:szCs w:val="24"/>
                <w:lang w:val="es-ES" w:eastAsia="es-ES"/>
              </w:rPr>
              <w:t xml:space="preserve"> […] </w:t>
            </w:r>
            <w:r w:rsidRPr="006D1528">
              <w:rPr>
                <w:rFonts w:ascii="Times New Roman" w:hAnsi="Times New Roman"/>
                <w:color w:val="000000"/>
                <w:sz w:val="24"/>
                <w:szCs w:val="24"/>
                <w:lang w:val="es-ES" w:eastAsia="es-ES"/>
              </w:rPr>
              <w:t>"El/la coadoptante que no usufructúe la licencia por adopción, tendrá derecho a una licencia con goce de haberes de quince (15) días corridos a partir de la notificación del otorgamiento de la guarda con vistas a la adopción."</w:t>
            </w:r>
          </w:p>
        </w:tc>
      </w:tr>
      <w:tr w:rsidR="00856070" w:rsidRPr="0057426C" w:rsidTr="006D1528">
        <w:trPr>
          <w:trHeight w:val="1890"/>
        </w:trPr>
        <w:tc>
          <w:tcPr>
            <w:tcW w:w="361" w:type="pct"/>
            <w:tcBorders>
              <w:top w:val="nil"/>
              <w:left w:val="single" w:sz="4" w:space="0" w:color="auto"/>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70Q_BIS</w:t>
            </w:r>
          </w:p>
        </w:tc>
        <w:tc>
          <w:tcPr>
            <w:tcW w:w="1365"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 xml:space="preserve">Nacimiento de </w:t>
            </w:r>
            <w:r>
              <w:rPr>
                <w:rFonts w:cs="Calibri"/>
                <w:color w:val="000000"/>
                <w:sz w:val="24"/>
                <w:szCs w:val="24"/>
                <w:lang w:val="es-ES" w:eastAsia="es-ES"/>
              </w:rPr>
              <w:t>h</w:t>
            </w:r>
            <w:r w:rsidRPr="006D1528">
              <w:rPr>
                <w:rFonts w:cs="Calibri"/>
                <w:color w:val="000000"/>
                <w:sz w:val="24"/>
                <w:szCs w:val="24"/>
                <w:lang w:val="es-ES" w:eastAsia="es-ES"/>
              </w:rPr>
              <w:t>ijo (</w:t>
            </w:r>
            <w:r>
              <w:rPr>
                <w:rFonts w:cs="Calibri"/>
                <w:color w:val="000000"/>
                <w:sz w:val="24"/>
                <w:szCs w:val="24"/>
                <w:lang w:val="es-ES" w:eastAsia="es-ES"/>
              </w:rPr>
              <w:t>a</w:t>
            </w:r>
            <w:r w:rsidRPr="006D1528">
              <w:rPr>
                <w:rFonts w:cs="Calibri"/>
                <w:color w:val="000000"/>
                <w:sz w:val="24"/>
                <w:szCs w:val="24"/>
                <w:lang w:val="es-ES" w:eastAsia="es-ES"/>
              </w:rPr>
              <w:t xml:space="preserve">dicional) / Licencia </w:t>
            </w:r>
            <w:r>
              <w:rPr>
                <w:rFonts w:cs="Calibri"/>
                <w:color w:val="000000"/>
                <w:sz w:val="24"/>
                <w:szCs w:val="24"/>
                <w:lang w:val="es-ES" w:eastAsia="es-ES"/>
              </w:rPr>
              <w:t>o</w:t>
            </w:r>
            <w:r w:rsidRPr="006D1528">
              <w:rPr>
                <w:rFonts w:cs="Calibri"/>
                <w:color w:val="000000"/>
                <w:sz w:val="24"/>
                <w:szCs w:val="24"/>
                <w:lang w:val="es-ES" w:eastAsia="es-ES"/>
              </w:rPr>
              <w:t xml:space="preserve">tro </w:t>
            </w:r>
            <w:r>
              <w:rPr>
                <w:rFonts w:cs="Calibri"/>
                <w:color w:val="000000"/>
                <w:sz w:val="24"/>
                <w:szCs w:val="24"/>
                <w:lang w:val="es-ES" w:eastAsia="es-ES"/>
              </w:rPr>
              <w:t>a</w:t>
            </w:r>
            <w:r w:rsidRPr="006D1528">
              <w:rPr>
                <w:rFonts w:cs="Calibri"/>
                <w:color w:val="000000"/>
                <w:sz w:val="24"/>
                <w:szCs w:val="24"/>
                <w:lang w:val="es-ES" w:eastAsia="es-ES"/>
              </w:rPr>
              <w:t>doptante (</w:t>
            </w:r>
            <w:r>
              <w:rPr>
                <w:rFonts w:cs="Calibri"/>
                <w:color w:val="000000"/>
                <w:sz w:val="24"/>
                <w:szCs w:val="24"/>
                <w:lang w:val="es-ES" w:eastAsia="es-ES"/>
              </w:rPr>
              <w:t>a</w:t>
            </w:r>
            <w:r w:rsidRPr="006D1528">
              <w:rPr>
                <w:rFonts w:cs="Calibri"/>
                <w:color w:val="000000"/>
                <w:sz w:val="24"/>
                <w:szCs w:val="24"/>
                <w:lang w:val="es-ES" w:eastAsia="es-ES"/>
              </w:rPr>
              <w:t>dicional)</w:t>
            </w:r>
          </w:p>
        </w:tc>
        <w:tc>
          <w:tcPr>
            <w:tcW w:w="280"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Corridos</w:t>
            </w:r>
          </w:p>
        </w:tc>
        <w:tc>
          <w:tcPr>
            <w:tcW w:w="266"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30</w:t>
            </w:r>
          </w:p>
        </w:tc>
        <w:tc>
          <w:tcPr>
            <w:tcW w:w="2728" w:type="pct"/>
            <w:tcBorders>
              <w:top w:val="nil"/>
              <w:left w:val="nil"/>
              <w:bottom w:val="single" w:sz="4" w:space="0" w:color="auto"/>
              <w:right w:val="single" w:sz="4" w:space="0" w:color="auto"/>
            </w:tcBorders>
            <w:vAlign w:val="bottom"/>
          </w:tcPr>
          <w:p w:rsidR="00856070" w:rsidRPr="006D1528" w:rsidRDefault="00856070" w:rsidP="006D1528">
            <w:pPr>
              <w:spacing w:after="0" w:line="240" w:lineRule="auto"/>
              <w:rPr>
                <w:rFonts w:ascii="Times New Roman" w:hAnsi="Times New Roman"/>
                <w:color w:val="000000"/>
                <w:sz w:val="24"/>
                <w:szCs w:val="24"/>
                <w:lang w:val="es-ES" w:eastAsia="es-ES"/>
              </w:rPr>
            </w:pPr>
            <w:r w:rsidRPr="006D1528">
              <w:rPr>
                <w:rFonts w:ascii="Times New Roman" w:hAnsi="Times New Roman"/>
                <w:color w:val="000000"/>
                <w:sz w:val="24"/>
                <w:szCs w:val="24"/>
                <w:lang w:val="es-ES" w:eastAsia="es-ES"/>
              </w:rPr>
              <w:t>"Asimismo, el/la progenitor/a no gestante tendrá derecho a una licencia con goce íntegro de haberes de treinta (30) días corridos no fraccionables e intransferibles que podrá usufructuar en cualquier momento dentro del año de vida de el/la recién nacido/a."</w:t>
            </w:r>
            <w:r>
              <w:rPr>
                <w:rFonts w:ascii="Times New Roman" w:hAnsi="Times New Roman"/>
                <w:color w:val="000000"/>
                <w:sz w:val="24"/>
                <w:szCs w:val="24"/>
                <w:lang w:val="es-ES" w:eastAsia="es-ES"/>
              </w:rPr>
              <w:t xml:space="preserve"> […] </w:t>
            </w:r>
            <w:r w:rsidRPr="006D1528">
              <w:rPr>
                <w:rFonts w:ascii="Times New Roman" w:hAnsi="Times New Roman"/>
                <w:color w:val="000000"/>
                <w:sz w:val="24"/>
                <w:szCs w:val="24"/>
                <w:lang w:val="es-ES" w:eastAsia="es-ES"/>
              </w:rPr>
              <w:t>"Asimismo, tendrá derecho a una licencia con goce de haberes de treinta (30) días corridos no fraccionables e intransferibles que podrá usufructuar en cualquier momento dentro del año de notificación del otorgamiento de la guarda con vistas a la futura adopción."</w:t>
            </w:r>
          </w:p>
        </w:tc>
      </w:tr>
      <w:tr w:rsidR="00856070" w:rsidRPr="006D1528" w:rsidTr="006D1528">
        <w:trPr>
          <w:trHeight w:val="630"/>
        </w:trPr>
        <w:tc>
          <w:tcPr>
            <w:tcW w:w="361" w:type="pct"/>
            <w:tcBorders>
              <w:top w:val="nil"/>
              <w:left w:val="single" w:sz="4" w:space="0" w:color="auto"/>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70Q_EXT</w:t>
            </w:r>
          </w:p>
        </w:tc>
        <w:tc>
          <w:tcPr>
            <w:tcW w:w="1365"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 xml:space="preserve">Nacimiento de </w:t>
            </w:r>
            <w:r>
              <w:rPr>
                <w:rFonts w:cs="Calibri"/>
                <w:color w:val="000000"/>
                <w:sz w:val="24"/>
                <w:szCs w:val="24"/>
                <w:lang w:val="es-ES" w:eastAsia="es-ES"/>
              </w:rPr>
              <w:t>h</w:t>
            </w:r>
            <w:r w:rsidRPr="006D1528">
              <w:rPr>
                <w:rFonts w:cs="Calibri"/>
                <w:color w:val="000000"/>
                <w:sz w:val="24"/>
                <w:szCs w:val="24"/>
                <w:lang w:val="es-ES" w:eastAsia="es-ES"/>
              </w:rPr>
              <w:t>ijo (</w:t>
            </w:r>
            <w:r>
              <w:rPr>
                <w:rFonts w:cs="Calibri"/>
                <w:color w:val="000000"/>
                <w:sz w:val="24"/>
                <w:szCs w:val="24"/>
                <w:lang w:val="es-ES" w:eastAsia="es-ES"/>
              </w:rPr>
              <w:t>e</w:t>
            </w:r>
            <w:r w:rsidRPr="006D1528">
              <w:rPr>
                <w:rFonts w:cs="Calibri"/>
                <w:color w:val="000000"/>
                <w:sz w:val="24"/>
                <w:szCs w:val="24"/>
                <w:lang w:val="es-ES" w:eastAsia="es-ES"/>
              </w:rPr>
              <w:t>xtensión)</w:t>
            </w:r>
          </w:p>
        </w:tc>
        <w:tc>
          <w:tcPr>
            <w:tcW w:w="280"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Corridos</w:t>
            </w:r>
          </w:p>
        </w:tc>
        <w:tc>
          <w:tcPr>
            <w:tcW w:w="266"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120</w:t>
            </w:r>
          </w:p>
        </w:tc>
        <w:tc>
          <w:tcPr>
            <w:tcW w:w="2728" w:type="pct"/>
            <w:tcBorders>
              <w:top w:val="nil"/>
              <w:left w:val="nil"/>
              <w:bottom w:val="single" w:sz="4" w:space="0" w:color="auto"/>
              <w:right w:val="single" w:sz="4" w:space="0" w:color="auto"/>
            </w:tcBorders>
            <w:vAlign w:val="bottom"/>
          </w:tcPr>
          <w:p w:rsidR="00856070" w:rsidRPr="006D1528" w:rsidRDefault="00856070" w:rsidP="006D1528">
            <w:pPr>
              <w:spacing w:after="0" w:line="240" w:lineRule="auto"/>
              <w:rPr>
                <w:rFonts w:ascii="Times New Roman" w:hAnsi="Times New Roman"/>
                <w:color w:val="000000"/>
                <w:sz w:val="24"/>
                <w:szCs w:val="24"/>
                <w:lang w:val="es-ES" w:eastAsia="es-ES"/>
              </w:rPr>
            </w:pPr>
            <w:r w:rsidRPr="006D1528">
              <w:rPr>
                <w:rFonts w:ascii="Times New Roman" w:hAnsi="Times New Roman"/>
                <w:color w:val="000000"/>
                <w:sz w:val="24"/>
                <w:szCs w:val="24"/>
                <w:lang w:val="es-ES" w:eastAsia="es-ES"/>
              </w:rPr>
              <w:t>"El/la progenitor/a no gestante podrá solicitar una licencia sin percepción de haberes de hasta ciento veinte (120) días corridos, no transferibles, hasta el primer año de vida de el/la hijo/a."</w:t>
            </w:r>
          </w:p>
        </w:tc>
      </w:tr>
      <w:tr w:rsidR="00856070" w:rsidRPr="006D1528" w:rsidTr="006D1528">
        <w:trPr>
          <w:trHeight w:val="1260"/>
        </w:trPr>
        <w:tc>
          <w:tcPr>
            <w:tcW w:w="361" w:type="pct"/>
            <w:tcBorders>
              <w:top w:val="nil"/>
              <w:left w:val="single" w:sz="4" w:space="0" w:color="auto"/>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70Q_NN</w:t>
            </w:r>
          </w:p>
        </w:tc>
        <w:tc>
          <w:tcPr>
            <w:tcW w:w="1365"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 xml:space="preserve">Nacimiento de </w:t>
            </w:r>
            <w:r>
              <w:rPr>
                <w:rFonts w:cs="Calibri"/>
                <w:color w:val="000000"/>
                <w:sz w:val="24"/>
                <w:szCs w:val="24"/>
                <w:lang w:val="es-ES" w:eastAsia="es-ES"/>
              </w:rPr>
              <w:t>hijo (no</w:t>
            </w:r>
            <w:r w:rsidRPr="006D1528">
              <w:rPr>
                <w:rFonts w:cs="Calibri"/>
                <w:color w:val="000000"/>
                <w:sz w:val="24"/>
                <w:szCs w:val="24"/>
                <w:lang w:val="es-ES" w:eastAsia="es-ES"/>
              </w:rPr>
              <w:t xml:space="preserve"> </w:t>
            </w:r>
            <w:r>
              <w:rPr>
                <w:rFonts w:cs="Calibri"/>
                <w:color w:val="000000"/>
                <w:sz w:val="24"/>
                <w:szCs w:val="24"/>
                <w:lang w:val="es-ES" w:eastAsia="es-ES"/>
              </w:rPr>
              <w:t>n</w:t>
            </w:r>
            <w:r w:rsidRPr="006D1528">
              <w:rPr>
                <w:rFonts w:cs="Calibri"/>
                <w:color w:val="000000"/>
                <w:sz w:val="24"/>
                <w:szCs w:val="24"/>
                <w:lang w:val="es-ES" w:eastAsia="es-ES"/>
              </w:rPr>
              <w:t>ato)</w:t>
            </w:r>
          </w:p>
        </w:tc>
        <w:tc>
          <w:tcPr>
            <w:tcW w:w="280" w:type="pct"/>
            <w:tcBorders>
              <w:top w:val="nil"/>
              <w:left w:val="nil"/>
              <w:bottom w:val="single" w:sz="4" w:space="0" w:color="auto"/>
              <w:right w:val="single" w:sz="4" w:space="0" w:color="auto"/>
            </w:tcBorders>
            <w:vAlign w:val="center"/>
          </w:tcPr>
          <w:p w:rsidR="00856070" w:rsidRPr="006D1528" w:rsidRDefault="00856070" w:rsidP="00DE5678">
            <w:pPr>
              <w:spacing w:after="0" w:line="240" w:lineRule="auto"/>
              <w:rPr>
                <w:rFonts w:cs="Calibri"/>
                <w:color w:val="000000"/>
                <w:sz w:val="24"/>
                <w:szCs w:val="24"/>
                <w:lang w:val="es-ES" w:eastAsia="es-ES"/>
              </w:rPr>
            </w:pPr>
            <w:r w:rsidRPr="006D1528">
              <w:rPr>
                <w:rFonts w:cs="Calibri"/>
                <w:color w:val="000000"/>
                <w:sz w:val="24"/>
                <w:szCs w:val="24"/>
                <w:lang w:val="es-ES" w:eastAsia="es-ES"/>
              </w:rPr>
              <w:t>Corr</w:t>
            </w:r>
            <w:r>
              <w:rPr>
                <w:rFonts w:cs="Calibri"/>
                <w:color w:val="000000"/>
                <w:sz w:val="24"/>
                <w:szCs w:val="24"/>
                <w:lang w:val="es-ES" w:eastAsia="es-ES"/>
              </w:rPr>
              <w:t>i</w:t>
            </w:r>
            <w:r w:rsidRPr="006D1528">
              <w:rPr>
                <w:rFonts w:cs="Calibri"/>
                <w:color w:val="000000"/>
                <w:sz w:val="24"/>
                <w:szCs w:val="24"/>
                <w:lang w:val="es-ES" w:eastAsia="es-ES"/>
              </w:rPr>
              <w:t>dos</w:t>
            </w:r>
          </w:p>
        </w:tc>
        <w:tc>
          <w:tcPr>
            <w:tcW w:w="266"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15</w:t>
            </w:r>
          </w:p>
        </w:tc>
        <w:tc>
          <w:tcPr>
            <w:tcW w:w="2728" w:type="pct"/>
            <w:tcBorders>
              <w:top w:val="nil"/>
              <w:left w:val="nil"/>
              <w:bottom w:val="single" w:sz="4" w:space="0" w:color="auto"/>
              <w:right w:val="single" w:sz="4" w:space="0" w:color="auto"/>
            </w:tcBorders>
            <w:vAlign w:val="bottom"/>
          </w:tcPr>
          <w:p w:rsidR="00856070" w:rsidRPr="006D1528" w:rsidRDefault="00856070" w:rsidP="006D1528">
            <w:pPr>
              <w:spacing w:after="0" w:line="240" w:lineRule="auto"/>
              <w:rPr>
                <w:rFonts w:ascii="Times New Roman" w:hAnsi="Times New Roman"/>
                <w:color w:val="000000"/>
                <w:sz w:val="24"/>
                <w:szCs w:val="24"/>
                <w:lang w:val="es-ES" w:eastAsia="es-ES"/>
              </w:rPr>
            </w:pPr>
            <w:r w:rsidRPr="006D1528">
              <w:rPr>
                <w:rFonts w:ascii="Times New Roman" w:hAnsi="Times New Roman"/>
                <w:color w:val="000000"/>
                <w:sz w:val="24"/>
                <w:szCs w:val="24"/>
                <w:lang w:val="es-ES" w:eastAsia="es-ES"/>
              </w:rPr>
              <w:t>"Si se produjere el alumbramiento sin vida o falleciere el/la neonato/ta a poco de nacer, el/la progenitor/a no gestante tendrá derecho a una licencia con goce de haberes de quince (15) días corridos a partir de la circunstancia de hecho acreditada que diere fundamento a la presente licencia."</w:t>
            </w:r>
          </w:p>
        </w:tc>
      </w:tr>
      <w:tr w:rsidR="00856070" w:rsidRPr="006D1528" w:rsidTr="006D1528">
        <w:trPr>
          <w:trHeight w:val="2835"/>
        </w:trPr>
        <w:tc>
          <w:tcPr>
            <w:tcW w:w="361" w:type="pct"/>
            <w:tcBorders>
              <w:top w:val="nil"/>
              <w:left w:val="single" w:sz="4" w:space="0" w:color="auto"/>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70R_BIS</w:t>
            </w:r>
          </w:p>
        </w:tc>
        <w:tc>
          <w:tcPr>
            <w:tcW w:w="1365"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Fallecimiento de gestante (</w:t>
            </w:r>
            <w:r>
              <w:rPr>
                <w:rFonts w:cs="Calibri"/>
                <w:color w:val="000000"/>
                <w:sz w:val="24"/>
                <w:szCs w:val="24"/>
                <w:lang w:val="es-ES" w:eastAsia="es-ES"/>
              </w:rPr>
              <w:t>l</w:t>
            </w:r>
            <w:r w:rsidRPr="006D1528">
              <w:rPr>
                <w:rFonts w:cs="Calibri"/>
                <w:color w:val="000000"/>
                <w:sz w:val="24"/>
                <w:szCs w:val="24"/>
                <w:lang w:val="es-ES" w:eastAsia="es-ES"/>
              </w:rPr>
              <w:t>icencia no gestante)</w:t>
            </w:r>
          </w:p>
        </w:tc>
        <w:tc>
          <w:tcPr>
            <w:tcW w:w="280"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Corridos</w:t>
            </w:r>
          </w:p>
        </w:tc>
        <w:tc>
          <w:tcPr>
            <w:tcW w:w="266"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164</w:t>
            </w:r>
          </w:p>
        </w:tc>
        <w:tc>
          <w:tcPr>
            <w:tcW w:w="2728"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jc w:val="both"/>
              <w:rPr>
                <w:rFonts w:ascii="Times New Roman" w:hAnsi="Times New Roman"/>
                <w:color w:val="000000"/>
                <w:sz w:val="24"/>
                <w:szCs w:val="24"/>
                <w:lang w:val="es-ES" w:eastAsia="es-ES"/>
              </w:rPr>
            </w:pPr>
            <w:r w:rsidRPr="006D1528">
              <w:rPr>
                <w:rFonts w:ascii="Times New Roman" w:hAnsi="Times New Roman"/>
                <w:color w:val="000000"/>
                <w:sz w:val="24"/>
                <w:szCs w:val="24"/>
                <w:lang w:val="es-ES" w:eastAsia="es-ES"/>
              </w:rPr>
              <w:t>"En el caso de que el fallecimiento de la persona gestante fuere producto o causa sobreviniente al parto y el/la hijo/a sobreviviera, el/la progenitor/a supérstite tiene derecho a una licencia análoga a los períodos establecidos en el punto I, inciso eh) del artículo 69 para el post-parto, computada desde la finalización de la licencia por fallecimiento de familiar que le corresponda." "En caso de que el fallecimiento de la persona gestante se produjere dentro de los ciento veinte (120) días de vida de el/la recién nacido/a, el/la progenitor/a supérstite tendrá derecho a gozar el resto de la licencia que le hubiere correspondido a la persona fallecida según el punto 1 inciso ch) del Artículo 69, o bien, una licencia de hasta sesenta (60) días corridos con goce de haberes, lo que resulte mayor."</w:t>
            </w:r>
          </w:p>
        </w:tc>
      </w:tr>
      <w:tr w:rsidR="00856070" w:rsidRPr="006D1528" w:rsidTr="006D1528">
        <w:trPr>
          <w:trHeight w:val="1890"/>
        </w:trPr>
        <w:tc>
          <w:tcPr>
            <w:tcW w:w="361" w:type="pct"/>
            <w:tcBorders>
              <w:top w:val="nil"/>
              <w:left w:val="single" w:sz="4" w:space="0" w:color="auto"/>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70R_ADOP</w:t>
            </w:r>
          </w:p>
        </w:tc>
        <w:tc>
          <w:tcPr>
            <w:tcW w:w="1365"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Fallecimiento adoptante (</w:t>
            </w:r>
            <w:r>
              <w:rPr>
                <w:rFonts w:cs="Calibri"/>
                <w:color w:val="000000"/>
                <w:sz w:val="24"/>
                <w:szCs w:val="24"/>
                <w:lang w:val="es-ES" w:eastAsia="es-ES"/>
              </w:rPr>
              <w:t>l</w:t>
            </w:r>
            <w:r w:rsidRPr="006D1528">
              <w:rPr>
                <w:rFonts w:cs="Calibri"/>
                <w:color w:val="000000"/>
                <w:sz w:val="24"/>
                <w:szCs w:val="24"/>
                <w:lang w:val="es-ES" w:eastAsia="es-ES"/>
              </w:rPr>
              <w:t>icencia otro adoptante</w:t>
            </w:r>
            <w:r>
              <w:rPr>
                <w:rFonts w:cs="Calibri"/>
                <w:color w:val="000000"/>
                <w:sz w:val="24"/>
                <w:szCs w:val="24"/>
                <w:lang w:val="es-ES" w:eastAsia="es-ES"/>
              </w:rPr>
              <w:t>)</w:t>
            </w:r>
          </w:p>
        </w:tc>
        <w:tc>
          <w:tcPr>
            <w:tcW w:w="280"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Corridos</w:t>
            </w:r>
          </w:p>
        </w:tc>
        <w:tc>
          <w:tcPr>
            <w:tcW w:w="266"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210</w:t>
            </w:r>
          </w:p>
        </w:tc>
        <w:tc>
          <w:tcPr>
            <w:tcW w:w="2728" w:type="pct"/>
            <w:tcBorders>
              <w:top w:val="nil"/>
              <w:left w:val="nil"/>
              <w:bottom w:val="single" w:sz="4" w:space="0" w:color="auto"/>
              <w:right w:val="single" w:sz="4" w:space="0" w:color="auto"/>
            </w:tcBorders>
            <w:vAlign w:val="bottom"/>
          </w:tcPr>
          <w:p w:rsidR="00856070" w:rsidRPr="006D1528" w:rsidRDefault="00856070" w:rsidP="006D1528">
            <w:pPr>
              <w:spacing w:after="0" w:line="240" w:lineRule="auto"/>
              <w:rPr>
                <w:rFonts w:ascii="Times New Roman" w:hAnsi="Times New Roman"/>
                <w:color w:val="000000"/>
                <w:sz w:val="24"/>
                <w:szCs w:val="24"/>
                <w:lang w:val="es-ES" w:eastAsia="es-ES"/>
              </w:rPr>
            </w:pPr>
            <w:r w:rsidRPr="006D1528">
              <w:rPr>
                <w:rFonts w:ascii="Times New Roman" w:hAnsi="Times New Roman"/>
                <w:color w:val="000000"/>
                <w:sz w:val="24"/>
                <w:szCs w:val="24"/>
                <w:lang w:val="es-ES" w:eastAsia="es-ES"/>
              </w:rPr>
              <w:t>Si ambos adoptantes fueran a la vez empleados del Gobierno de la Ciudad Autónoma de Buenos Aires y falleciera el/la adoptante que se encontraba usufructuando alguna de las licencias por adopción contempladas en el punto 1, inciso d) del artículo 69, el/la adoptante supérstite tendrá derecho a gozar el resto de la licencia que le hubiera correspondido a el/la fallecido/a o bien, tendrá derecho a una licencia de hasta sesenta (60) días corridos con goce de haberes, lo que resulte mayor.</w:t>
            </w:r>
          </w:p>
        </w:tc>
      </w:tr>
      <w:tr w:rsidR="00856070" w:rsidRPr="006D1528" w:rsidTr="006D1528">
        <w:trPr>
          <w:trHeight w:val="2835"/>
        </w:trPr>
        <w:tc>
          <w:tcPr>
            <w:tcW w:w="361" w:type="pct"/>
            <w:tcBorders>
              <w:top w:val="nil"/>
              <w:left w:val="single" w:sz="4" w:space="0" w:color="auto"/>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70Y</w:t>
            </w:r>
          </w:p>
        </w:tc>
        <w:tc>
          <w:tcPr>
            <w:tcW w:w="1365"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p>
        </w:tc>
        <w:tc>
          <w:tcPr>
            <w:tcW w:w="280"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Hábiles</w:t>
            </w:r>
          </w:p>
        </w:tc>
        <w:tc>
          <w:tcPr>
            <w:tcW w:w="266"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20+20</w:t>
            </w:r>
          </w:p>
        </w:tc>
        <w:tc>
          <w:tcPr>
            <w:tcW w:w="2728" w:type="pct"/>
            <w:tcBorders>
              <w:top w:val="nil"/>
              <w:left w:val="nil"/>
              <w:bottom w:val="single" w:sz="4" w:space="0" w:color="auto"/>
              <w:right w:val="single" w:sz="4" w:space="0" w:color="auto"/>
            </w:tcBorders>
            <w:vAlign w:val="bottom"/>
          </w:tcPr>
          <w:p w:rsidR="00856070" w:rsidRPr="006D1528" w:rsidRDefault="00856070" w:rsidP="006D1528">
            <w:pPr>
              <w:spacing w:after="0" w:line="240" w:lineRule="auto"/>
              <w:rPr>
                <w:rFonts w:ascii="Times New Roman" w:hAnsi="Times New Roman"/>
                <w:color w:val="000000"/>
                <w:sz w:val="24"/>
                <w:szCs w:val="24"/>
                <w:lang w:val="es-ES" w:eastAsia="es-ES"/>
              </w:rPr>
            </w:pPr>
            <w:r w:rsidRPr="006D1528">
              <w:rPr>
                <w:rFonts w:ascii="Times New Roman" w:hAnsi="Times New Roman"/>
                <w:color w:val="000000"/>
                <w:sz w:val="24"/>
                <w:szCs w:val="24"/>
                <w:lang w:val="es-ES" w:eastAsia="es-ES"/>
              </w:rPr>
              <w:t>"Las docentes con carácter de titular, interino y/o suplente de la Ciudad de Buenos Aires tienen derecho a una licencia por violencia de género con goce de haberes de hasta veinte (20) días hábiles por año, con el alcance previsto en la Ley Nº 26.485, de Protección Integral a las Mujeres, con los tipos y modalidades establecidos en sus artículos 4°, 5° y 6º. Dicha licencia podrá prorrogarse por períodos iguales cuando la autoridad de aplicación entienda que se acredita la persistencia del motivo que justificó su otorgamiento. La licencia entrará en vigencia a partir de la formulación de la solicitud por parte de la trabajadora que, desde ese momento, contará con un plazo máximo de cinco (5) días hábiles para acompañar la constancia de la denuncia judicial o constancia administrativa que la autoridad de aplicación requiera."</w:t>
            </w:r>
          </w:p>
        </w:tc>
      </w:tr>
      <w:tr w:rsidR="00856070" w:rsidRPr="006D1528" w:rsidTr="006D1528">
        <w:trPr>
          <w:trHeight w:val="945"/>
        </w:trPr>
        <w:tc>
          <w:tcPr>
            <w:tcW w:w="361" w:type="pct"/>
            <w:tcBorders>
              <w:top w:val="nil"/>
              <w:left w:val="single" w:sz="4" w:space="0" w:color="auto"/>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70Z</w:t>
            </w:r>
          </w:p>
        </w:tc>
        <w:tc>
          <w:tcPr>
            <w:tcW w:w="1365"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Violencia intrafamiliar</w:t>
            </w:r>
          </w:p>
        </w:tc>
        <w:tc>
          <w:tcPr>
            <w:tcW w:w="280"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Hábiles</w:t>
            </w:r>
          </w:p>
        </w:tc>
        <w:tc>
          <w:tcPr>
            <w:tcW w:w="266" w:type="pct"/>
            <w:tcBorders>
              <w:top w:val="nil"/>
              <w:left w:val="nil"/>
              <w:bottom w:val="single" w:sz="4" w:space="0" w:color="auto"/>
              <w:right w:val="single" w:sz="4" w:space="0" w:color="auto"/>
            </w:tcBorders>
            <w:vAlign w:val="center"/>
          </w:tcPr>
          <w:p w:rsidR="00856070" w:rsidRPr="006D1528" w:rsidRDefault="00856070" w:rsidP="006D1528">
            <w:pPr>
              <w:spacing w:after="0" w:line="240" w:lineRule="auto"/>
              <w:rPr>
                <w:rFonts w:cs="Calibri"/>
                <w:color w:val="000000"/>
                <w:sz w:val="24"/>
                <w:szCs w:val="24"/>
                <w:lang w:val="es-ES" w:eastAsia="es-ES"/>
              </w:rPr>
            </w:pPr>
            <w:r w:rsidRPr="006D1528">
              <w:rPr>
                <w:rFonts w:cs="Calibri"/>
                <w:color w:val="000000"/>
                <w:sz w:val="24"/>
                <w:szCs w:val="24"/>
                <w:lang w:val="es-ES" w:eastAsia="es-ES"/>
              </w:rPr>
              <w:t>20+20</w:t>
            </w:r>
          </w:p>
        </w:tc>
        <w:tc>
          <w:tcPr>
            <w:tcW w:w="2728" w:type="pct"/>
            <w:tcBorders>
              <w:top w:val="nil"/>
              <w:left w:val="nil"/>
              <w:bottom w:val="single" w:sz="4" w:space="0" w:color="auto"/>
              <w:right w:val="single" w:sz="4" w:space="0" w:color="auto"/>
            </w:tcBorders>
            <w:vAlign w:val="bottom"/>
          </w:tcPr>
          <w:p w:rsidR="00856070" w:rsidRPr="006D1528" w:rsidRDefault="00856070" w:rsidP="006D1528">
            <w:pPr>
              <w:spacing w:after="0" w:line="240" w:lineRule="auto"/>
              <w:rPr>
                <w:rFonts w:ascii="Times New Roman" w:hAnsi="Times New Roman"/>
                <w:color w:val="000000"/>
                <w:sz w:val="24"/>
                <w:szCs w:val="24"/>
                <w:lang w:val="es-ES" w:eastAsia="es-ES"/>
              </w:rPr>
            </w:pPr>
            <w:r w:rsidRPr="006D1528">
              <w:rPr>
                <w:rFonts w:ascii="Times New Roman" w:hAnsi="Times New Roman"/>
                <w:color w:val="000000"/>
                <w:sz w:val="24"/>
                <w:szCs w:val="24"/>
                <w:lang w:val="es-ES" w:eastAsia="es-ES"/>
              </w:rPr>
              <w:t>Las disposiciones sobre violencia de género serán aplicables a las formas de constitución familiar,</w:t>
            </w:r>
            <w:r>
              <w:rPr>
                <w:rFonts w:ascii="Times New Roman" w:hAnsi="Times New Roman"/>
                <w:color w:val="000000"/>
                <w:sz w:val="24"/>
                <w:szCs w:val="24"/>
                <w:lang w:val="es-ES" w:eastAsia="es-ES"/>
              </w:rPr>
              <w:t xml:space="preserve"> </w:t>
            </w:r>
            <w:r w:rsidRPr="006D1528">
              <w:rPr>
                <w:rFonts w:ascii="Times New Roman" w:hAnsi="Times New Roman"/>
                <w:color w:val="000000"/>
                <w:sz w:val="24"/>
                <w:szCs w:val="24"/>
                <w:lang w:val="es-ES" w:eastAsia="es-ES"/>
              </w:rPr>
              <w:t>de acuerdo a las normas civiles que reconocen el matrimonio igualitario, unión civil o convivencial del mismo sexo</w:t>
            </w:r>
            <w:r>
              <w:rPr>
                <w:rFonts w:ascii="Times New Roman" w:hAnsi="Times New Roman"/>
                <w:color w:val="000000"/>
                <w:sz w:val="24"/>
                <w:szCs w:val="24"/>
                <w:lang w:val="es-ES" w:eastAsia="es-ES"/>
              </w:rPr>
              <w:t>.</w:t>
            </w:r>
          </w:p>
        </w:tc>
      </w:tr>
    </w:tbl>
    <w:p w:rsidR="00856070" w:rsidRDefault="00856070" w:rsidP="0013542A">
      <w:pPr>
        <w:pStyle w:val="Default"/>
        <w:rPr>
          <w:b/>
          <w:bCs/>
          <w:i/>
          <w:iCs/>
          <w:sz w:val="40"/>
          <w:szCs w:val="40"/>
        </w:rPr>
      </w:pPr>
    </w:p>
    <w:p w:rsidR="00856070" w:rsidRDefault="00856070" w:rsidP="0013542A">
      <w:pPr>
        <w:pStyle w:val="Default"/>
        <w:rPr>
          <w:b/>
          <w:bCs/>
          <w:i/>
          <w:iCs/>
          <w:sz w:val="40"/>
          <w:szCs w:val="40"/>
        </w:rPr>
      </w:pPr>
    </w:p>
    <w:p w:rsidR="00856070" w:rsidRDefault="00856070" w:rsidP="0013542A">
      <w:pPr>
        <w:pStyle w:val="Default"/>
        <w:rPr>
          <w:b/>
          <w:bCs/>
          <w:i/>
          <w:iCs/>
          <w:sz w:val="40"/>
          <w:szCs w:val="40"/>
        </w:rPr>
      </w:pPr>
      <w:bookmarkStart w:id="0" w:name="_GoBack"/>
      <w:bookmarkEnd w:id="0"/>
    </w:p>
    <w:sectPr w:rsidR="00856070" w:rsidSect="006D1528">
      <w:headerReference w:type="even" r:id="rId7"/>
      <w:headerReference w:type="default" r:id="rId8"/>
      <w:footerReference w:type="default" r:id="rId9"/>
      <w:headerReference w:type="first" r:id="rId10"/>
      <w:pgSz w:w="15840" w:h="24480" w:code="3"/>
      <w:pgMar w:top="720" w:right="720" w:bottom="720" w:left="720" w:header="708" w:footer="708"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070" w:rsidRDefault="00856070">
      <w:pPr>
        <w:spacing w:after="0" w:line="240" w:lineRule="auto"/>
      </w:pPr>
      <w:r>
        <w:separator/>
      </w:r>
    </w:p>
  </w:endnote>
  <w:endnote w:type="continuationSeparator" w:id="0">
    <w:p w:rsidR="00856070" w:rsidRDefault="00856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070" w:rsidRDefault="00856070">
    <w:pPr>
      <w:pStyle w:val="Footer"/>
      <w:jc w:val="center"/>
      <w:rPr>
        <w:noProof/>
        <w:lang w:val="es-ES" w:eastAsia="es-ES"/>
      </w:rPr>
    </w:pPr>
    <w:r w:rsidRPr="00B75015">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i1030" type="#_x0000_t75" style="width:112.5pt;height:48pt;visibility:visible">
          <v:imagedata r:id="rId1" o:title=""/>
        </v:shape>
      </w:pict>
    </w:r>
  </w:p>
  <w:p w:rsidR="00856070" w:rsidRPr="00820EC5" w:rsidRDefault="00856070" w:rsidP="00820EC5">
    <w:pPr>
      <w:pStyle w:val="Footer"/>
      <w:jc w:val="center"/>
      <w:rPr>
        <w:rFonts w:ascii="Arial" w:hAnsi="Arial" w:cs="Arial"/>
        <w:b/>
        <w:i/>
        <w:sz w:val="24"/>
        <w:szCs w:val="24"/>
      </w:rPr>
    </w:pPr>
    <w:r w:rsidRPr="00820EC5">
      <w:rPr>
        <w:rFonts w:ascii="Arial" w:hAnsi="Arial" w:cs="Arial"/>
        <w:b/>
        <w:bCs/>
        <w:i/>
        <w:sz w:val="24"/>
        <w:szCs w:val="24"/>
      </w:rPr>
      <w:t>En defensa de la educación pública y el derecho de los trabajadores docentes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070" w:rsidRDefault="00856070">
      <w:pPr>
        <w:spacing w:after="0" w:line="240" w:lineRule="auto"/>
      </w:pPr>
      <w:r>
        <w:separator/>
      </w:r>
    </w:p>
  </w:footnote>
  <w:footnote w:type="continuationSeparator" w:id="0">
    <w:p w:rsidR="00856070" w:rsidRDefault="008560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070" w:rsidRDefault="00856070">
    <w:pPr>
      <w:pStyle w:val="Heade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685001" o:spid="_x0000_s2049" type="#_x0000_t75" style="position:absolute;margin-left:0;margin-top:0;width:421.85pt;height:227.8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070" w:rsidRDefault="00856070" w:rsidP="00DE5678">
    <w:pPr>
      <w:pStyle w:val="Header"/>
      <w:jc w:val="cente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685002" o:spid="_x0000_s2050" type="#_x0000_t75" style="position:absolute;left:0;text-align:left;margin-left:0;margin-top:0;width:421.85pt;height:227.8pt;z-index:-251657728;mso-position-horizontal:center;mso-position-horizontal-relative:margin;mso-position-vertical:center;mso-position-vertical-relative:margin" o:allowincell="f">
          <v:imagedata r:id="rId1" o:title="" gain="19661f" blacklevel="22938f"/>
          <w10:wrap anchorx="margin" anchory="margin"/>
        </v:shape>
      </w:pict>
    </w:r>
    <w:r w:rsidRPr="00B75015">
      <w:rPr>
        <w:noProof/>
        <w:lang w:val="es-ES" w:eastAsia="es-ES"/>
      </w:rPr>
      <w:pict>
        <v:shape id="Imagen 4" o:spid="_x0000_i1027" type="#_x0000_t75" style="width:87.75pt;height:36.75pt;visibility:visible">
          <v:imagedata r:id="rId1" o:title=""/>
        </v:shape>
      </w:pict>
    </w:r>
    <w:r>
      <w:rPr>
        <w:b/>
      </w:rPr>
      <w:t xml:space="preserve">       </w:t>
    </w:r>
    <w:r w:rsidRPr="00F31162">
      <w:rPr>
        <w:rFonts w:ascii="Arial" w:hAnsi="Arial" w:cs="Arial"/>
        <w:b/>
        <w:sz w:val="18"/>
        <w:szCs w:val="18"/>
      </w:rPr>
      <w:t xml:space="preserve">UNIÓN DOCENTES ARGENTINOS- Seccional Capital. </w:t>
    </w:r>
    <w:r w:rsidRPr="00F31162">
      <w:rPr>
        <w:rFonts w:ascii="Arial" w:hAnsi="Arial" w:cs="Arial"/>
        <w:b/>
        <w:sz w:val="18"/>
        <w:szCs w:val="18"/>
        <w:lang w:val="en-US"/>
      </w:rPr>
      <w:t>PRINGLES 50- 4981-7723/4982-0657</w:t>
    </w:r>
    <w:r>
      <w:rPr>
        <w:rFonts w:ascii="Arial" w:hAnsi="Arial" w:cs="Arial"/>
        <w:b/>
        <w:sz w:val="18"/>
        <w:szCs w:val="18"/>
        <w:lang w:val="en-US"/>
      </w:rPr>
      <w:t xml:space="preserve">        </w:t>
    </w:r>
    <w:r w:rsidRPr="00B75015">
      <w:rPr>
        <w:noProof/>
        <w:lang w:val="es-ES" w:eastAsia="es-ES"/>
      </w:rPr>
      <w:pict>
        <v:shape id="Imagen 10" o:spid="_x0000_i1028" type="#_x0000_t75" style="width:31.5pt;height:31.5pt;visibility:visible">
          <v:imagedata r:id="rId2" o:title=""/>
        </v:shape>
      </w:pict>
    </w:r>
    <w:r>
      <w:rPr>
        <w:b/>
        <w:lang w:val="en-US"/>
      </w:rPr>
      <w:t xml:space="preserve">                                                                                                  </w:t>
    </w:r>
    <w:hyperlink r:id="rId3" w:history="1">
      <w:r w:rsidRPr="00E067C5">
        <w:rPr>
          <w:rStyle w:val="Hyperlink"/>
          <w:b/>
          <w:lang w:val="en-US"/>
        </w:rPr>
        <w:t>www.udacapital.org</w:t>
      </w:r>
    </w:hyperlink>
  </w:p>
  <w:p w:rsidR="00856070" w:rsidRDefault="00856070" w:rsidP="00DE5678">
    <w:pPr>
      <w:pStyle w:val="Header"/>
      <w:jc w:val="center"/>
      <w:rPr>
        <w:b/>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070" w:rsidRDefault="00856070">
    <w:pPr>
      <w:pStyle w:val="Heade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685000" o:spid="_x0000_s2051" type="#_x0000_t75" style="position:absolute;margin-left:0;margin-top:0;width:421.85pt;height:227.8pt;z-index:-251659776;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D4433"/>
    <w:multiLevelType w:val="hybridMultilevel"/>
    <w:tmpl w:val="69AC72A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D8E3F68"/>
    <w:multiLevelType w:val="hybridMultilevel"/>
    <w:tmpl w:val="505A24F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29F0484"/>
    <w:multiLevelType w:val="hybridMultilevel"/>
    <w:tmpl w:val="B8CC17E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57A2861"/>
    <w:multiLevelType w:val="hybridMultilevel"/>
    <w:tmpl w:val="723007E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7967C70"/>
    <w:multiLevelType w:val="hybridMultilevel"/>
    <w:tmpl w:val="5E08AC5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F582B2C"/>
    <w:multiLevelType w:val="hybridMultilevel"/>
    <w:tmpl w:val="DBCCE38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537B"/>
    <w:rsid w:val="00026B96"/>
    <w:rsid w:val="000378C6"/>
    <w:rsid w:val="000531B3"/>
    <w:rsid w:val="000A5323"/>
    <w:rsid w:val="000B0D04"/>
    <w:rsid w:val="000B3F87"/>
    <w:rsid w:val="000F3DB3"/>
    <w:rsid w:val="000F4778"/>
    <w:rsid w:val="00100E74"/>
    <w:rsid w:val="001300D0"/>
    <w:rsid w:val="00132D8A"/>
    <w:rsid w:val="0013542A"/>
    <w:rsid w:val="00171339"/>
    <w:rsid w:val="00192CAD"/>
    <w:rsid w:val="00197662"/>
    <w:rsid w:val="001B789A"/>
    <w:rsid w:val="001D1B7C"/>
    <w:rsid w:val="001E1C54"/>
    <w:rsid w:val="001F014F"/>
    <w:rsid w:val="001F67EF"/>
    <w:rsid w:val="002044CC"/>
    <w:rsid w:val="0023537B"/>
    <w:rsid w:val="00256585"/>
    <w:rsid w:val="0026633C"/>
    <w:rsid w:val="00267C86"/>
    <w:rsid w:val="002773AE"/>
    <w:rsid w:val="002A544C"/>
    <w:rsid w:val="002B0E6E"/>
    <w:rsid w:val="002E1173"/>
    <w:rsid w:val="002E26A6"/>
    <w:rsid w:val="002F1013"/>
    <w:rsid w:val="002F1BFD"/>
    <w:rsid w:val="00313313"/>
    <w:rsid w:val="00333959"/>
    <w:rsid w:val="00340D45"/>
    <w:rsid w:val="00353975"/>
    <w:rsid w:val="00385768"/>
    <w:rsid w:val="0038740F"/>
    <w:rsid w:val="003969E9"/>
    <w:rsid w:val="003A633A"/>
    <w:rsid w:val="003B60A6"/>
    <w:rsid w:val="003F41EE"/>
    <w:rsid w:val="00424662"/>
    <w:rsid w:val="00424AA4"/>
    <w:rsid w:val="00433C15"/>
    <w:rsid w:val="00451972"/>
    <w:rsid w:val="004609CD"/>
    <w:rsid w:val="00462FCB"/>
    <w:rsid w:val="00464F22"/>
    <w:rsid w:val="00476F8F"/>
    <w:rsid w:val="00485440"/>
    <w:rsid w:val="00492E7F"/>
    <w:rsid w:val="004A0DD4"/>
    <w:rsid w:val="004B1812"/>
    <w:rsid w:val="004E5C53"/>
    <w:rsid w:val="00542E3B"/>
    <w:rsid w:val="0057426C"/>
    <w:rsid w:val="005B5FC9"/>
    <w:rsid w:val="005C33D6"/>
    <w:rsid w:val="005D079F"/>
    <w:rsid w:val="005D0FA2"/>
    <w:rsid w:val="005E35E5"/>
    <w:rsid w:val="005F63AF"/>
    <w:rsid w:val="00612024"/>
    <w:rsid w:val="00635527"/>
    <w:rsid w:val="00640DF1"/>
    <w:rsid w:val="00671564"/>
    <w:rsid w:val="006727F2"/>
    <w:rsid w:val="00692640"/>
    <w:rsid w:val="006A6C16"/>
    <w:rsid w:val="006B18A4"/>
    <w:rsid w:val="006D1528"/>
    <w:rsid w:val="006E0EAA"/>
    <w:rsid w:val="006F2C3D"/>
    <w:rsid w:val="00705343"/>
    <w:rsid w:val="00753323"/>
    <w:rsid w:val="00772128"/>
    <w:rsid w:val="0077542A"/>
    <w:rsid w:val="00781FFC"/>
    <w:rsid w:val="007A3FFB"/>
    <w:rsid w:val="007B6C4E"/>
    <w:rsid w:val="007D4F24"/>
    <w:rsid w:val="007F6A23"/>
    <w:rsid w:val="00820EC5"/>
    <w:rsid w:val="008253D4"/>
    <w:rsid w:val="00840F8E"/>
    <w:rsid w:val="00856070"/>
    <w:rsid w:val="008661BF"/>
    <w:rsid w:val="0087145C"/>
    <w:rsid w:val="00877D8E"/>
    <w:rsid w:val="008D0361"/>
    <w:rsid w:val="008F2E46"/>
    <w:rsid w:val="0091397D"/>
    <w:rsid w:val="009733E5"/>
    <w:rsid w:val="009973BA"/>
    <w:rsid w:val="009A0443"/>
    <w:rsid w:val="009E7CED"/>
    <w:rsid w:val="009F2CC3"/>
    <w:rsid w:val="009F79F9"/>
    <w:rsid w:val="00A00B41"/>
    <w:rsid w:val="00A01401"/>
    <w:rsid w:val="00A05F6D"/>
    <w:rsid w:val="00A11E0E"/>
    <w:rsid w:val="00A1734D"/>
    <w:rsid w:val="00A32132"/>
    <w:rsid w:val="00A3549F"/>
    <w:rsid w:val="00A448AF"/>
    <w:rsid w:val="00A74EC1"/>
    <w:rsid w:val="00A87A80"/>
    <w:rsid w:val="00A97695"/>
    <w:rsid w:val="00AD7B01"/>
    <w:rsid w:val="00AF41A7"/>
    <w:rsid w:val="00B11D7F"/>
    <w:rsid w:val="00B1498D"/>
    <w:rsid w:val="00B16D82"/>
    <w:rsid w:val="00B36210"/>
    <w:rsid w:val="00B54D91"/>
    <w:rsid w:val="00B6722C"/>
    <w:rsid w:val="00B709D9"/>
    <w:rsid w:val="00B75015"/>
    <w:rsid w:val="00B90051"/>
    <w:rsid w:val="00BC0BE8"/>
    <w:rsid w:val="00BC2076"/>
    <w:rsid w:val="00C01F9B"/>
    <w:rsid w:val="00C22B6D"/>
    <w:rsid w:val="00C3416A"/>
    <w:rsid w:val="00C34392"/>
    <w:rsid w:val="00C74BCD"/>
    <w:rsid w:val="00C75960"/>
    <w:rsid w:val="00C855CF"/>
    <w:rsid w:val="00CD1FF5"/>
    <w:rsid w:val="00CE7755"/>
    <w:rsid w:val="00D15708"/>
    <w:rsid w:val="00D50194"/>
    <w:rsid w:val="00D60DE2"/>
    <w:rsid w:val="00D9507E"/>
    <w:rsid w:val="00DB461E"/>
    <w:rsid w:val="00DD38E9"/>
    <w:rsid w:val="00DE5678"/>
    <w:rsid w:val="00DF3794"/>
    <w:rsid w:val="00E03392"/>
    <w:rsid w:val="00E067C5"/>
    <w:rsid w:val="00E12F66"/>
    <w:rsid w:val="00E205D9"/>
    <w:rsid w:val="00E23FD1"/>
    <w:rsid w:val="00E4018C"/>
    <w:rsid w:val="00E74CAC"/>
    <w:rsid w:val="00E762BB"/>
    <w:rsid w:val="00E96C9C"/>
    <w:rsid w:val="00EE68BD"/>
    <w:rsid w:val="00EF3513"/>
    <w:rsid w:val="00F0579D"/>
    <w:rsid w:val="00F2319C"/>
    <w:rsid w:val="00F31162"/>
    <w:rsid w:val="00F91EE6"/>
    <w:rsid w:val="00FB16A3"/>
    <w:rsid w:val="00FE733C"/>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8BD"/>
    <w:pPr>
      <w:spacing w:after="200" w:line="276" w:lineRule="auto"/>
    </w:pPr>
    <w:rPr>
      <w:lang w:val="es-AR" w:eastAsia="en-US"/>
    </w:rPr>
  </w:style>
  <w:style w:type="paragraph" w:styleId="Heading1">
    <w:name w:val="heading 1"/>
    <w:basedOn w:val="Normal"/>
    <w:next w:val="Normal"/>
    <w:link w:val="Heading1Char"/>
    <w:uiPriority w:val="99"/>
    <w:qFormat/>
    <w:rsid w:val="009F79F9"/>
    <w:pPr>
      <w:keepNext/>
      <w:keepLines/>
      <w:spacing w:before="240" w:after="0"/>
      <w:outlineLvl w:val="0"/>
    </w:pPr>
    <w:rPr>
      <w:rFonts w:ascii="Cambria" w:eastAsia="Times New Roman" w:hAnsi="Cambria"/>
      <w:color w:val="365F91"/>
      <w:sz w:val="32"/>
      <w:szCs w:val="32"/>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79F9"/>
    <w:rPr>
      <w:rFonts w:ascii="Cambria" w:hAnsi="Cambria"/>
      <w:color w:val="365F91"/>
      <w:sz w:val="32"/>
    </w:rPr>
  </w:style>
  <w:style w:type="paragraph" w:styleId="Header">
    <w:name w:val="header"/>
    <w:basedOn w:val="Normal"/>
    <w:link w:val="HeaderChar"/>
    <w:uiPriority w:val="99"/>
    <w:rsid w:val="009F79F9"/>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9F79F9"/>
    <w:rPr>
      <w:rFonts w:cs="Times New Roman"/>
    </w:rPr>
  </w:style>
  <w:style w:type="paragraph" w:styleId="Footer">
    <w:name w:val="footer"/>
    <w:basedOn w:val="Normal"/>
    <w:link w:val="FooterChar"/>
    <w:uiPriority w:val="99"/>
    <w:rsid w:val="009F79F9"/>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9F79F9"/>
    <w:rPr>
      <w:rFonts w:cs="Times New Roman"/>
    </w:rPr>
  </w:style>
  <w:style w:type="character" w:styleId="Hyperlink">
    <w:name w:val="Hyperlink"/>
    <w:basedOn w:val="DefaultParagraphFont"/>
    <w:uiPriority w:val="99"/>
    <w:rsid w:val="009F79F9"/>
    <w:rPr>
      <w:rFonts w:cs="Times New Roman"/>
      <w:color w:val="0000FF"/>
      <w:u w:val="single"/>
    </w:rPr>
  </w:style>
  <w:style w:type="paragraph" w:styleId="BalloonText">
    <w:name w:val="Balloon Text"/>
    <w:basedOn w:val="Normal"/>
    <w:link w:val="BalloonTextChar"/>
    <w:uiPriority w:val="99"/>
    <w:rsid w:val="009F79F9"/>
    <w:pPr>
      <w:spacing w:after="0" w:line="240" w:lineRule="auto"/>
    </w:pPr>
    <w:rPr>
      <w:rFonts w:ascii="Tahoma" w:hAnsi="Tahoma"/>
      <w:sz w:val="16"/>
      <w:szCs w:val="16"/>
      <w:lang w:val="es-ES" w:eastAsia="es-ES"/>
    </w:rPr>
  </w:style>
  <w:style w:type="character" w:customStyle="1" w:styleId="BalloonTextChar">
    <w:name w:val="Balloon Text Char"/>
    <w:basedOn w:val="DefaultParagraphFont"/>
    <w:link w:val="BalloonText"/>
    <w:uiPriority w:val="99"/>
    <w:locked/>
    <w:rsid w:val="009F79F9"/>
    <w:rPr>
      <w:rFonts w:ascii="Tahoma" w:hAnsi="Tahoma"/>
      <w:sz w:val="16"/>
    </w:rPr>
  </w:style>
  <w:style w:type="paragraph" w:customStyle="1" w:styleId="Default">
    <w:name w:val="Default"/>
    <w:uiPriority w:val="99"/>
    <w:rsid w:val="009F79F9"/>
    <w:pPr>
      <w:autoSpaceDE w:val="0"/>
      <w:autoSpaceDN w:val="0"/>
      <w:adjustRightInd w:val="0"/>
    </w:pPr>
    <w:rPr>
      <w:rFonts w:ascii="Arial" w:hAnsi="Arial" w:cs="Arial"/>
      <w:color w:val="000000"/>
      <w:sz w:val="24"/>
      <w:szCs w:val="24"/>
      <w:lang w:val="es-AR" w:eastAsia="es-AR"/>
    </w:rPr>
  </w:style>
  <w:style w:type="paragraph" w:styleId="NormalWeb">
    <w:name w:val="Normal (Web)"/>
    <w:basedOn w:val="Normal"/>
    <w:uiPriority w:val="99"/>
    <w:rsid w:val="009F79F9"/>
    <w:rPr>
      <w:rFonts w:ascii="Times New Roman" w:hAnsi="Times New Roman"/>
      <w:sz w:val="24"/>
      <w:szCs w:val="24"/>
    </w:rPr>
  </w:style>
  <w:style w:type="character" w:styleId="Strong">
    <w:name w:val="Strong"/>
    <w:basedOn w:val="DefaultParagraphFont"/>
    <w:uiPriority w:val="99"/>
    <w:qFormat/>
    <w:rsid w:val="009F79F9"/>
    <w:rPr>
      <w:rFonts w:cs="Times New Roman"/>
      <w:b/>
    </w:rPr>
  </w:style>
  <w:style w:type="paragraph" w:styleId="ListParagraph">
    <w:name w:val="List Paragraph"/>
    <w:basedOn w:val="Normal"/>
    <w:uiPriority w:val="99"/>
    <w:qFormat/>
    <w:rsid w:val="003B60A6"/>
    <w:pPr>
      <w:ind w:left="720"/>
      <w:contextualSpacing/>
    </w:pPr>
  </w:style>
</w:styles>
</file>

<file path=word/webSettings.xml><?xml version="1.0" encoding="utf-8"?>
<w:webSettings xmlns:r="http://schemas.openxmlformats.org/officeDocument/2006/relationships" xmlns:w="http://schemas.openxmlformats.org/wordprocessingml/2006/main">
  <w:divs>
    <w:div w:id="1450781460">
      <w:marLeft w:val="0"/>
      <w:marRight w:val="0"/>
      <w:marTop w:val="0"/>
      <w:marBottom w:val="0"/>
      <w:divBdr>
        <w:top w:val="none" w:sz="0" w:space="0" w:color="auto"/>
        <w:left w:val="none" w:sz="0" w:space="0" w:color="auto"/>
        <w:bottom w:val="none" w:sz="0" w:space="0" w:color="auto"/>
        <w:right w:val="none" w:sz="0" w:space="0" w:color="auto"/>
      </w:divBdr>
    </w:div>
    <w:div w:id="1450781461">
      <w:marLeft w:val="0"/>
      <w:marRight w:val="0"/>
      <w:marTop w:val="0"/>
      <w:marBottom w:val="0"/>
      <w:divBdr>
        <w:top w:val="none" w:sz="0" w:space="0" w:color="auto"/>
        <w:left w:val="none" w:sz="0" w:space="0" w:color="auto"/>
        <w:bottom w:val="none" w:sz="0" w:space="0" w:color="auto"/>
        <w:right w:val="none" w:sz="0" w:space="0" w:color="auto"/>
      </w:divBdr>
    </w:div>
    <w:div w:id="1450781462">
      <w:marLeft w:val="0"/>
      <w:marRight w:val="0"/>
      <w:marTop w:val="0"/>
      <w:marBottom w:val="0"/>
      <w:divBdr>
        <w:top w:val="none" w:sz="0" w:space="0" w:color="auto"/>
        <w:left w:val="none" w:sz="0" w:space="0" w:color="auto"/>
        <w:bottom w:val="none" w:sz="0" w:space="0" w:color="auto"/>
        <w:right w:val="none" w:sz="0" w:space="0" w:color="auto"/>
      </w:divBdr>
    </w:div>
    <w:div w:id="1450781463">
      <w:marLeft w:val="0"/>
      <w:marRight w:val="0"/>
      <w:marTop w:val="0"/>
      <w:marBottom w:val="0"/>
      <w:divBdr>
        <w:top w:val="none" w:sz="0" w:space="0" w:color="auto"/>
        <w:left w:val="none" w:sz="0" w:space="0" w:color="auto"/>
        <w:bottom w:val="none" w:sz="0" w:space="0" w:color="auto"/>
        <w:right w:val="none" w:sz="0" w:space="0" w:color="auto"/>
      </w:divBdr>
    </w:div>
    <w:div w:id="14507814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udacapital.org" TargetMode="External"/><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2</Pages>
  <Words>1615</Words>
  <Characters>8888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dc:creator>
  <cp:keywords/>
  <dc:description/>
  <cp:lastModifiedBy>Soledad Rey</cp:lastModifiedBy>
  <cp:revision>5</cp:revision>
  <cp:lastPrinted>2019-03-07T03:39:00Z</cp:lastPrinted>
  <dcterms:created xsi:type="dcterms:W3CDTF">2019-05-14T19:13:00Z</dcterms:created>
  <dcterms:modified xsi:type="dcterms:W3CDTF">2019-05-14T20:38:00Z</dcterms:modified>
</cp:coreProperties>
</file>